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57FD" w:rsidRDefault="00D16793" w:rsidP="000518C0">
      <w:pPr>
        <w:spacing w:line="480" w:lineRule="auto"/>
      </w:pPr>
      <w:r>
        <w:rPr>
          <w:noProof/>
          <w:lang w:eastAsia="zh-CN"/>
        </w:rPr>
        <w:drawing>
          <wp:inline distT="0" distB="0" distL="0" distR="0" wp14:anchorId="2BE4216E" wp14:editId="69E33EA4">
            <wp:extent cx="5492900" cy="6934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mesAndChaparralHRWaveletFigure_New.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496991" cy="6939364"/>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S1</w:t>
      </w:r>
      <w:r>
        <w:rPr>
          <w:szCs w:val="24"/>
        </w:rPr>
        <w:t xml:space="preserve">. </w:t>
      </w:r>
    </w:p>
    <w:p w:rsidR="003157FD" w:rsidRDefault="00AF019D" w:rsidP="000518C0">
      <w:pPr>
        <w:spacing w:line="480" w:lineRule="auto"/>
      </w:pPr>
      <w:r>
        <w:rPr>
          <w:noProof/>
          <w:lang w:eastAsia="zh-CN"/>
        </w:rPr>
        <w:lastRenderedPageBreak/>
        <w:drawing>
          <wp:inline distT="0" distB="0" distL="0" distR="0" wp14:anchorId="4DE716EF" wp14:editId="3567A43E">
            <wp:extent cx="5943600" cy="47910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2_SagethetasPlusModels_2_24_2015_Figure.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4791075"/>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S2</w:t>
      </w:r>
      <w:r>
        <w:rPr>
          <w:szCs w:val="24"/>
        </w:rPr>
        <w:t xml:space="preserve">. </w:t>
      </w:r>
    </w:p>
    <w:p w:rsidR="00F628ED" w:rsidRDefault="00F628ED" w:rsidP="000518C0">
      <w:pPr>
        <w:spacing w:line="480" w:lineRule="auto"/>
      </w:pPr>
    </w:p>
    <w:p w:rsidR="00AF019D" w:rsidRDefault="00AF019D" w:rsidP="000518C0">
      <w:pPr>
        <w:spacing w:line="480" w:lineRule="auto"/>
      </w:pPr>
      <w:r>
        <w:rPr>
          <w:noProof/>
          <w:lang w:eastAsia="zh-CN"/>
        </w:rPr>
        <w:lastRenderedPageBreak/>
        <w:drawing>
          <wp:inline distT="0" distB="0" distL="0" distR="0" wp14:anchorId="6414BB0F" wp14:editId="0A5914CE">
            <wp:extent cx="5943600" cy="47910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3_GrassthetasPlusModels_2_24_2015Figure.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4791075"/>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S3</w:t>
      </w:r>
      <w:r>
        <w:rPr>
          <w:szCs w:val="24"/>
        </w:rPr>
        <w:t xml:space="preserve">. </w:t>
      </w:r>
    </w:p>
    <w:p w:rsidR="00F628ED" w:rsidRDefault="00F628ED" w:rsidP="00F628ED">
      <w:pPr>
        <w:spacing w:line="480" w:lineRule="auto"/>
      </w:pPr>
    </w:p>
    <w:p w:rsidR="00AF019D" w:rsidRDefault="00AF019D" w:rsidP="00F628ED">
      <w:pPr>
        <w:spacing w:line="480" w:lineRule="auto"/>
      </w:pPr>
      <w:r>
        <w:rPr>
          <w:noProof/>
          <w:lang w:eastAsia="zh-CN"/>
        </w:rPr>
        <w:lastRenderedPageBreak/>
        <w:drawing>
          <wp:inline distT="0" distB="0" distL="0" distR="0" wp14:anchorId="167FDAF6" wp14:editId="41FFC4B7">
            <wp:extent cx="5943600" cy="47910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4_OakPineThetasPlusModels_2_25_2015.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4791075"/>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S4</w:t>
      </w:r>
      <w:r>
        <w:rPr>
          <w:szCs w:val="24"/>
        </w:rPr>
        <w:t xml:space="preserve">. </w:t>
      </w:r>
    </w:p>
    <w:p w:rsidR="00F628ED" w:rsidRDefault="00F628ED" w:rsidP="00F628ED">
      <w:pPr>
        <w:spacing w:line="480" w:lineRule="auto"/>
      </w:pPr>
    </w:p>
    <w:p w:rsidR="00AF019D" w:rsidRDefault="00AF019D" w:rsidP="00F628ED">
      <w:pPr>
        <w:spacing w:line="480" w:lineRule="auto"/>
      </w:pPr>
      <w:r>
        <w:rPr>
          <w:noProof/>
          <w:lang w:eastAsia="zh-CN"/>
        </w:rPr>
        <w:lastRenderedPageBreak/>
        <w:drawing>
          <wp:inline distT="0" distB="0" distL="0" distR="0" wp14:anchorId="0C2A86E9" wp14:editId="568657BC">
            <wp:extent cx="5943600" cy="47910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5_PinyonJuniperthetasPlusModels_2_24_2015Figure.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4791075"/>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S5</w:t>
      </w:r>
      <w:r>
        <w:rPr>
          <w:szCs w:val="24"/>
        </w:rPr>
        <w:t xml:space="preserve">. </w:t>
      </w:r>
    </w:p>
    <w:p w:rsidR="00F628ED" w:rsidRDefault="00F628ED" w:rsidP="00F628ED">
      <w:pPr>
        <w:spacing w:line="480" w:lineRule="auto"/>
      </w:pPr>
    </w:p>
    <w:p w:rsidR="00AF019D" w:rsidRDefault="00AF019D" w:rsidP="00F628ED">
      <w:pPr>
        <w:spacing w:line="480" w:lineRule="auto"/>
      </w:pPr>
      <w:r>
        <w:rPr>
          <w:noProof/>
          <w:lang w:eastAsia="zh-CN"/>
        </w:rPr>
        <w:lastRenderedPageBreak/>
        <w:drawing>
          <wp:inline distT="0" distB="0" distL="0" distR="0" wp14:anchorId="7AE09EE3" wp14:editId="163C5145">
            <wp:extent cx="5943600" cy="47910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6_ChaparralthetasPlusModels_2_24_2015_Figure.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791075"/>
                    </a:xfrm>
                    <a:prstGeom prst="rect">
                      <a:avLst/>
                    </a:prstGeom>
                  </pic:spPr>
                </pic:pic>
              </a:graphicData>
            </a:graphic>
          </wp:inline>
        </w:drawing>
      </w:r>
    </w:p>
    <w:p w:rsidR="00F628ED" w:rsidRDefault="00F628ED" w:rsidP="00F628ED">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S6</w:t>
      </w:r>
      <w:r>
        <w:rPr>
          <w:szCs w:val="24"/>
        </w:rPr>
        <w:t xml:space="preserve">. </w:t>
      </w:r>
    </w:p>
    <w:p w:rsidR="00F628ED" w:rsidRDefault="00F628ED" w:rsidP="00F628ED">
      <w:pPr>
        <w:spacing w:line="480" w:lineRule="auto"/>
      </w:pPr>
    </w:p>
    <w:p w:rsidR="005D5B2E" w:rsidRDefault="00FD548D" w:rsidP="000518C0">
      <w:pPr>
        <w:spacing w:line="480" w:lineRule="auto"/>
      </w:pPr>
      <w:r>
        <w:rPr>
          <w:noProof/>
          <w:szCs w:val="24"/>
          <w:lang w:eastAsia="zh-CN"/>
        </w:rPr>
        <w:lastRenderedPageBreak/>
        <w:drawing>
          <wp:inline distT="0" distB="0" distL="0" distR="0" wp14:anchorId="23067FA3" wp14:editId="4B5B5333">
            <wp:extent cx="4882299" cy="6705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90956" cy="6717489"/>
                    </a:xfrm>
                    <a:prstGeom prst="rect">
                      <a:avLst/>
                    </a:prstGeom>
                    <a:noFill/>
                    <a:ln>
                      <a:noFill/>
                    </a:ln>
                  </pic:spPr>
                </pic:pic>
              </a:graphicData>
            </a:graphic>
          </wp:inline>
        </w:drawing>
      </w:r>
    </w:p>
    <w:p w:rsidR="005D5B2E" w:rsidRDefault="00FD548D" w:rsidP="00FD548D">
      <w:pPr>
        <w:snapToGrid w:val="0"/>
        <w:spacing w:line="480" w:lineRule="auto"/>
      </w:pPr>
      <w:proofErr w:type="gramStart"/>
      <w:r w:rsidRPr="009D1D87">
        <w:rPr>
          <w:b/>
          <w:szCs w:val="24"/>
        </w:rPr>
        <w:t>Fig</w:t>
      </w:r>
      <w:r w:rsidR="009E5C3D">
        <w:rPr>
          <w:b/>
          <w:szCs w:val="24"/>
        </w:rPr>
        <w:t>.</w:t>
      </w:r>
      <w:proofErr w:type="gramEnd"/>
      <w:r w:rsidRPr="009D1D87">
        <w:rPr>
          <w:b/>
          <w:szCs w:val="24"/>
        </w:rPr>
        <w:t xml:space="preserve"> </w:t>
      </w:r>
      <w:r>
        <w:rPr>
          <w:b/>
          <w:szCs w:val="24"/>
        </w:rPr>
        <w:t>S7</w:t>
      </w:r>
      <w:r>
        <w:rPr>
          <w:szCs w:val="24"/>
        </w:rPr>
        <w:t xml:space="preserve">. </w:t>
      </w:r>
    </w:p>
    <w:p w:rsidR="001133B4" w:rsidRDefault="001D48D1" w:rsidP="001133B4">
      <w:pPr>
        <w:snapToGrid w:val="0"/>
        <w:spacing w:line="480" w:lineRule="auto"/>
        <w:rPr>
          <w:b/>
          <w:szCs w:val="24"/>
        </w:rPr>
      </w:pPr>
      <w:r>
        <w:rPr>
          <w:noProof/>
          <w:lang w:eastAsia="zh-CN"/>
        </w:rPr>
        <w:lastRenderedPageBreak/>
        <w:drawing>
          <wp:inline distT="0" distB="0" distL="0" distR="0" wp14:anchorId="0993B435" wp14:editId="0274FF38">
            <wp:extent cx="5486400" cy="6629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se_swc_Rev2.tif"/>
                    <pic:cNvPicPr/>
                  </pic:nvPicPr>
                  <pic:blipFill rotWithShape="1">
                    <a:blip r:embed="rId12" cstate="print">
                      <a:extLst>
                        <a:ext uri="{28A0092B-C50C-407E-A947-70E740481C1C}">
                          <a14:useLocalDpi xmlns:a14="http://schemas.microsoft.com/office/drawing/2010/main" val="0"/>
                        </a:ext>
                      </a:extLst>
                    </a:blip>
                    <a:srcRect b="9375"/>
                    <a:stretch/>
                  </pic:blipFill>
                  <pic:spPr bwMode="auto">
                    <a:xfrm>
                      <a:off x="0" y="0"/>
                      <a:ext cx="5486400" cy="6629400"/>
                    </a:xfrm>
                    <a:prstGeom prst="rect">
                      <a:avLst/>
                    </a:prstGeom>
                    <a:ln>
                      <a:noFill/>
                    </a:ln>
                    <a:extLst>
                      <a:ext uri="{53640926-AAD7-44D8-BBD7-CCE9431645EC}">
                        <a14:shadowObscured xmlns:a14="http://schemas.microsoft.com/office/drawing/2010/main"/>
                      </a:ext>
                    </a:extLst>
                  </pic:spPr>
                </pic:pic>
              </a:graphicData>
            </a:graphic>
          </wp:inline>
        </w:drawing>
      </w:r>
    </w:p>
    <w:p w:rsidR="001133B4" w:rsidRDefault="001133B4" w:rsidP="001133B4">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Pr>
          <w:b/>
          <w:szCs w:val="24"/>
        </w:rPr>
        <w:t>S</w:t>
      </w:r>
      <w:r w:rsidR="00EF387E">
        <w:rPr>
          <w:b/>
          <w:szCs w:val="24"/>
        </w:rPr>
        <w:t>8</w:t>
      </w:r>
      <w:r>
        <w:rPr>
          <w:szCs w:val="24"/>
        </w:rPr>
        <w:t xml:space="preserve">. </w:t>
      </w:r>
    </w:p>
    <w:p w:rsidR="009E1AA8" w:rsidRDefault="009E1AA8" w:rsidP="001133B4">
      <w:pPr>
        <w:snapToGrid w:val="0"/>
        <w:spacing w:line="480" w:lineRule="auto"/>
        <w:rPr>
          <w:szCs w:val="24"/>
        </w:rPr>
      </w:pPr>
    </w:p>
    <w:p w:rsidR="009E1AA8" w:rsidRDefault="001416D6" w:rsidP="001133B4">
      <w:pPr>
        <w:snapToGrid w:val="0"/>
        <w:spacing w:line="480" w:lineRule="auto"/>
        <w:rPr>
          <w:szCs w:val="24"/>
        </w:rPr>
      </w:pPr>
      <w:r>
        <w:rPr>
          <w:rFonts w:cs="Times New Roman"/>
          <w:noProof/>
          <w:color w:val="0070C0"/>
          <w:szCs w:val="24"/>
          <w:lang w:eastAsia="zh-CN"/>
        </w:rPr>
        <w:lastRenderedPageBreak/>
        <w:drawing>
          <wp:inline distT="0" distB="0" distL="0" distR="0" wp14:anchorId="0A48EA5E" wp14:editId="2A53E088">
            <wp:extent cx="5400675" cy="6357044"/>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y_20151028.tif"/>
                    <pic:cNvPicPr/>
                  </pic:nvPicPr>
                  <pic:blipFill rotWithShape="1">
                    <a:blip r:embed="rId13" cstate="print">
                      <a:extLst>
                        <a:ext uri="{28A0092B-C50C-407E-A947-70E740481C1C}">
                          <a14:useLocalDpi xmlns:a14="http://schemas.microsoft.com/office/drawing/2010/main" val="0"/>
                        </a:ext>
                      </a:extLst>
                    </a:blip>
                    <a:srcRect r="33860"/>
                    <a:stretch/>
                  </pic:blipFill>
                  <pic:spPr bwMode="auto">
                    <a:xfrm>
                      <a:off x="0" y="0"/>
                      <a:ext cx="5397613" cy="6353440"/>
                    </a:xfrm>
                    <a:prstGeom prst="rect">
                      <a:avLst/>
                    </a:prstGeom>
                    <a:ln>
                      <a:noFill/>
                    </a:ln>
                    <a:extLst>
                      <a:ext uri="{53640926-AAD7-44D8-BBD7-CCE9431645EC}">
                        <a14:shadowObscured xmlns:a14="http://schemas.microsoft.com/office/drawing/2010/main"/>
                      </a:ext>
                    </a:extLst>
                  </pic:spPr>
                </pic:pic>
              </a:graphicData>
            </a:graphic>
          </wp:inline>
        </w:drawing>
      </w:r>
    </w:p>
    <w:p w:rsidR="001416D6" w:rsidRDefault="001416D6" w:rsidP="001133B4">
      <w:pPr>
        <w:snapToGrid w:val="0"/>
        <w:spacing w:line="480" w:lineRule="auto"/>
        <w:rPr>
          <w:szCs w:val="24"/>
        </w:rPr>
      </w:pPr>
      <w:proofErr w:type="gramStart"/>
      <w:r w:rsidRPr="009D1D87">
        <w:rPr>
          <w:b/>
          <w:szCs w:val="24"/>
        </w:rPr>
        <w:t>Fig</w:t>
      </w:r>
      <w:r>
        <w:rPr>
          <w:b/>
          <w:szCs w:val="24"/>
        </w:rPr>
        <w:t>.</w:t>
      </w:r>
      <w:proofErr w:type="gramEnd"/>
      <w:r w:rsidRPr="009D1D87">
        <w:rPr>
          <w:b/>
          <w:szCs w:val="24"/>
        </w:rPr>
        <w:t xml:space="preserve"> </w:t>
      </w:r>
      <w:r>
        <w:rPr>
          <w:b/>
          <w:szCs w:val="24"/>
        </w:rPr>
        <w:t>S9</w:t>
      </w:r>
      <w:r>
        <w:rPr>
          <w:szCs w:val="24"/>
        </w:rPr>
        <w:t>.</w:t>
      </w:r>
      <w:r w:rsidR="004F20B0">
        <w:rPr>
          <w:szCs w:val="24"/>
        </w:rPr>
        <w:t xml:space="preserve"> </w:t>
      </w:r>
    </w:p>
    <w:p w:rsidR="003157FD" w:rsidRDefault="003157FD" w:rsidP="000518C0">
      <w:pPr>
        <w:spacing w:line="480" w:lineRule="auto"/>
      </w:pPr>
    </w:p>
    <w:p w:rsidR="00BB179A" w:rsidRDefault="00650BE3" w:rsidP="000518C0">
      <w:pPr>
        <w:spacing w:line="480" w:lineRule="auto"/>
      </w:pPr>
      <w:r>
        <w:rPr>
          <w:noProof/>
          <w:lang w:eastAsia="zh-CN"/>
        </w:rPr>
        <w:lastRenderedPageBreak/>
        <w:drawing>
          <wp:inline distT="0" distB="0" distL="0" distR="0" wp14:anchorId="2B4C3400" wp14:editId="2573BCA4">
            <wp:extent cx="5943600" cy="38214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9.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3821430"/>
                    </a:xfrm>
                    <a:prstGeom prst="rect">
                      <a:avLst/>
                    </a:prstGeom>
                  </pic:spPr>
                </pic:pic>
              </a:graphicData>
            </a:graphic>
          </wp:inline>
        </w:drawing>
      </w:r>
    </w:p>
    <w:p w:rsidR="00BB179A" w:rsidRDefault="00BB179A" w:rsidP="00BB179A">
      <w:pPr>
        <w:snapToGrid w:val="0"/>
        <w:spacing w:line="480" w:lineRule="auto"/>
      </w:pPr>
      <w:proofErr w:type="gramStart"/>
      <w:r w:rsidRPr="009D1D87">
        <w:rPr>
          <w:b/>
          <w:szCs w:val="24"/>
        </w:rPr>
        <w:t>Fig</w:t>
      </w:r>
      <w:r w:rsidR="009E5C3D">
        <w:rPr>
          <w:b/>
          <w:szCs w:val="24"/>
        </w:rPr>
        <w:t>.</w:t>
      </w:r>
      <w:proofErr w:type="gramEnd"/>
      <w:r w:rsidRPr="009D1D87">
        <w:rPr>
          <w:b/>
          <w:szCs w:val="24"/>
        </w:rPr>
        <w:t xml:space="preserve"> </w:t>
      </w:r>
      <w:r w:rsidR="00050FC7">
        <w:rPr>
          <w:b/>
          <w:szCs w:val="24"/>
        </w:rPr>
        <w:t>S10</w:t>
      </w:r>
      <w:r>
        <w:rPr>
          <w:szCs w:val="24"/>
        </w:rPr>
        <w:t>.</w:t>
      </w:r>
      <w:r>
        <w:t xml:space="preserve"> </w:t>
      </w:r>
    </w:p>
    <w:p w:rsidR="003157FD" w:rsidRDefault="003157FD" w:rsidP="000518C0">
      <w:pPr>
        <w:spacing w:line="480" w:lineRule="auto"/>
      </w:pPr>
    </w:p>
    <w:p w:rsidR="003157FD" w:rsidRDefault="003157FD" w:rsidP="000518C0">
      <w:pPr>
        <w:spacing w:line="480" w:lineRule="auto"/>
      </w:pPr>
    </w:p>
    <w:p w:rsidR="00722FEA" w:rsidRDefault="00722FEA" w:rsidP="000518C0">
      <w:pPr>
        <w:spacing w:line="480" w:lineRule="auto"/>
      </w:pPr>
    </w:p>
    <w:p w:rsidR="00430D2D" w:rsidRDefault="00430D2D" w:rsidP="009E5C3D">
      <w:pPr>
        <w:snapToGrid w:val="0"/>
        <w:spacing w:line="480" w:lineRule="auto"/>
        <w:sectPr w:rsidR="00430D2D" w:rsidSect="0035756F">
          <w:pgSz w:w="11907" w:h="13608" w:code="1"/>
          <w:pgMar w:top="567" w:right="936" w:bottom="1338" w:left="936" w:header="720" w:footer="720" w:gutter="0"/>
          <w:cols w:space="720"/>
          <w:docGrid w:linePitch="360"/>
        </w:sectPr>
      </w:pPr>
    </w:p>
    <w:p w:rsidR="00DC1FCC" w:rsidRDefault="00DC1FCC" w:rsidP="00DC1FCC">
      <w:pPr>
        <w:snapToGrid w:val="0"/>
        <w:spacing w:line="480" w:lineRule="auto"/>
      </w:pPr>
    </w:p>
    <w:p w:rsidR="00DC1FCC" w:rsidRDefault="00DC1FCC" w:rsidP="000518C0">
      <w:pPr>
        <w:spacing w:line="480" w:lineRule="auto"/>
      </w:pPr>
    </w:p>
    <w:p w:rsidR="003157FD" w:rsidRPr="00042893" w:rsidRDefault="00BB179A" w:rsidP="000518C0">
      <w:pPr>
        <w:spacing w:line="480" w:lineRule="auto"/>
      </w:pPr>
      <w:r>
        <w:rPr>
          <w:noProof/>
          <w:lang w:eastAsia="zh-CN"/>
        </w:rPr>
        <w:drawing>
          <wp:inline distT="0" distB="0" distL="0" distR="0" wp14:anchorId="1FB9D49F" wp14:editId="371EA4DD">
            <wp:extent cx="5943600" cy="49053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3.tif"/>
                    <pic:cNvPicPr/>
                  </pic:nvPicPr>
                  <pic:blipFill rotWithShape="1">
                    <a:blip r:embed="rId15" cstate="print">
                      <a:extLst>
                        <a:ext uri="{28A0092B-C50C-407E-A947-70E740481C1C}">
                          <a14:useLocalDpi xmlns:a14="http://schemas.microsoft.com/office/drawing/2010/main" val="0"/>
                        </a:ext>
                      </a:extLst>
                    </a:blip>
                    <a:srcRect b="961"/>
                    <a:stretch/>
                  </pic:blipFill>
                  <pic:spPr bwMode="auto">
                    <a:xfrm>
                      <a:off x="0" y="0"/>
                      <a:ext cx="5943600" cy="4905375"/>
                    </a:xfrm>
                    <a:prstGeom prst="rect">
                      <a:avLst/>
                    </a:prstGeom>
                    <a:ln>
                      <a:noFill/>
                    </a:ln>
                    <a:extLst>
                      <a:ext uri="{53640926-AAD7-44D8-BBD7-CCE9431645EC}">
                        <a14:shadowObscured xmlns:a14="http://schemas.microsoft.com/office/drawing/2010/main"/>
                      </a:ext>
                    </a:extLst>
                  </pic:spPr>
                </pic:pic>
              </a:graphicData>
            </a:graphic>
          </wp:inline>
        </w:drawing>
      </w:r>
    </w:p>
    <w:p w:rsidR="003157FD" w:rsidRDefault="003157FD" w:rsidP="000518C0">
      <w:pPr>
        <w:snapToGrid w:val="0"/>
        <w:spacing w:line="480" w:lineRule="auto"/>
      </w:pPr>
      <w:proofErr w:type="gramStart"/>
      <w:r w:rsidRPr="009D1D87">
        <w:rPr>
          <w:b/>
          <w:szCs w:val="24"/>
        </w:rPr>
        <w:t>Fig</w:t>
      </w:r>
      <w:r w:rsidR="009E5C3D">
        <w:rPr>
          <w:b/>
          <w:szCs w:val="24"/>
        </w:rPr>
        <w:t>.</w:t>
      </w:r>
      <w:proofErr w:type="gramEnd"/>
      <w:r w:rsidRPr="009D1D87">
        <w:rPr>
          <w:b/>
          <w:szCs w:val="24"/>
        </w:rPr>
        <w:t xml:space="preserve"> </w:t>
      </w:r>
      <w:r w:rsidR="00050FC7">
        <w:rPr>
          <w:b/>
          <w:szCs w:val="24"/>
        </w:rPr>
        <w:t>S11</w:t>
      </w:r>
      <w:r>
        <w:rPr>
          <w:szCs w:val="24"/>
        </w:rPr>
        <w:t>.</w:t>
      </w:r>
      <w:r w:rsidR="004808C7">
        <w:t xml:space="preserve"> </w:t>
      </w:r>
    </w:p>
    <w:p w:rsidR="003157FD" w:rsidRDefault="00BB179A" w:rsidP="000518C0">
      <w:pPr>
        <w:spacing w:line="480" w:lineRule="auto"/>
      </w:pPr>
      <w:r>
        <w:rPr>
          <w:noProof/>
          <w:lang w:eastAsia="zh-CN"/>
        </w:rPr>
        <w:lastRenderedPageBreak/>
        <w:drawing>
          <wp:inline distT="0" distB="0" distL="0" distR="0" wp14:anchorId="3F59E608" wp14:editId="76DA871C">
            <wp:extent cx="5943600" cy="49053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S4.tif"/>
                    <pic:cNvPicPr/>
                  </pic:nvPicPr>
                  <pic:blipFill rotWithShape="1">
                    <a:blip r:embed="rId16" cstate="print">
                      <a:extLst>
                        <a:ext uri="{28A0092B-C50C-407E-A947-70E740481C1C}">
                          <a14:useLocalDpi xmlns:a14="http://schemas.microsoft.com/office/drawing/2010/main" val="0"/>
                        </a:ext>
                      </a:extLst>
                    </a:blip>
                    <a:srcRect b="961"/>
                    <a:stretch/>
                  </pic:blipFill>
                  <pic:spPr bwMode="auto">
                    <a:xfrm>
                      <a:off x="0" y="0"/>
                      <a:ext cx="5943600" cy="4905375"/>
                    </a:xfrm>
                    <a:prstGeom prst="rect">
                      <a:avLst/>
                    </a:prstGeom>
                    <a:ln>
                      <a:noFill/>
                    </a:ln>
                    <a:extLst>
                      <a:ext uri="{53640926-AAD7-44D8-BBD7-CCE9431645EC}">
                        <a14:shadowObscured xmlns:a14="http://schemas.microsoft.com/office/drawing/2010/main"/>
                      </a:ext>
                    </a:extLst>
                  </pic:spPr>
                </pic:pic>
              </a:graphicData>
            </a:graphic>
          </wp:inline>
        </w:drawing>
      </w:r>
    </w:p>
    <w:p w:rsidR="003157FD" w:rsidRDefault="003157FD" w:rsidP="000518C0">
      <w:pPr>
        <w:snapToGrid w:val="0"/>
        <w:spacing w:line="480" w:lineRule="auto"/>
        <w:rPr>
          <w:szCs w:val="24"/>
        </w:rPr>
      </w:pPr>
      <w:proofErr w:type="gramStart"/>
      <w:r w:rsidRPr="009D1D87">
        <w:rPr>
          <w:b/>
          <w:szCs w:val="24"/>
        </w:rPr>
        <w:t>Fig</w:t>
      </w:r>
      <w:r w:rsidR="009E5C3D">
        <w:rPr>
          <w:b/>
          <w:szCs w:val="24"/>
        </w:rPr>
        <w:t>.</w:t>
      </w:r>
      <w:proofErr w:type="gramEnd"/>
      <w:r w:rsidRPr="009D1D87">
        <w:rPr>
          <w:b/>
          <w:szCs w:val="24"/>
        </w:rPr>
        <w:t xml:space="preserve"> </w:t>
      </w:r>
      <w:r w:rsidR="00050FC7">
        <w:rPr>
          <w:b/>
          <w:szCs w:val="24"/>
        </w:rPr>
        <w:t>S12</w:t>
      </w:r>
      <w:r w:rsidR="004808C7">
        <w:rPr>
          <w:b/>
          <w:szCs w:val="24"/>
        </w:rPr>
        <w:t>.</w:t>
      </w:r>
    </w:p>
    <w:p w:rsidR="003157FD" w:rsidRDefault="003157FD" w:rsidP="000518C0">
      <w:pPr>
        <w:spacing w:line="480" w:lineRule="auto"/>
      </w:pPr>
    </w:p>
    <w:p w:rsidR="004776FD" w:rsidRDefault="004776FD" w:rsidP="000518C0">
      <w:pPr>
        <w:spacing w:line="480" w:lineRule="auto"/>
      </w:pPr>
    </w:p>
    <w:p w:rsidR="004776FD" w:rsidRDefault="004776FD" w:rsidP="000518C0">
      <w:pPr>
        <w:spacing w:line="480" w:lineRule="auto"/>
      </w:pPr>
    </w:p>
    <w:p w:rsidR="004776FD" w:rsidRDefault="004776FD" w:rsidP="000518C0">
      <w:pPr>
        <w:spacing w:line="480" w:lineRule="auto"/>
      </w:pPr>
    </w:p>
    <w:p w:rsidR="004776FD" w:rsidRDefault="004776FD" w:rsidP="000518C0">
      <w:pPr>
        <w:spacing w:line="480" w:lineRule="auto"/>
      </w:pPr>
    </w:p>
    <w:p w:rsidR="004776FD" w:rsidRDefault="004776FD" w:rsidP="000518C0">
      <w:pPr>
        <w:spacing w:line="480" w:lineRule="auto"/>
      </w:pPr>
    </w:p>
    <w:p w:rsidR="004776FD" w:rsidRDefault="004776FD" w:rsidP="004776FD">
      <w:pPr>
        <w:spacing w:line="360" w:lineRule="auto"/>
        <w:rPr>
          <w:b/>
        </w:rPr>
      </w:pPr>
      <w:r w:rsidRPr="004808C7">
        <w:rPr>
          <w:b/>
        </w:rPr>
        <w:lastRenderedPageBreak/>
        <w:t xml:space="preserve">Supplementary </w:t>
      </w:r>
      <w:r>
        <w:rPr>
          <w:b/>
        </w:rPr>
        <w:t>T</w:t>
      </w:r>
      <w:r w:rsidRPr="004808C7">
        <w:rPr>
          <w:b/>
        </w:rPr>
        <w:t>ext</w:t>
      </w:r>
    </w:p>
    <w:p w:rsidR="004776FD" w:rsidRDefault="004776FD" w:rsidP="004776FD">
      <w:pPr>
        <w:spacing w:line="360" w:lineRule="auto"/>
        <w:rPr>
          <w:b/>
        </w:rPr>
      </w:pPr>
    </w:p>
    <w:p w:rsidR="004776FD" w:rsidRPr="006917EE" w:rsidRDefault="004776FD" w:rsidP="004776FD">
      <w:pPr>
        <w:widowControl w:val="0"/>
        <w:spacing w:line="360" w:lineRule="auto"/>
        <w:jc w:val="both"/>
        <w:rPr>
          <w:rFonts w:cs="Times New Roman"/>
          <w:b/>
          <w:szCs w:val="24"/>
          <w:u w:val="single"/>
        </w:rPr>
      </w:pPr>
      <w:r>
        <w:rPr>
          <w:rFonts w:cs="Times New Roman"/>
          <w:b/>
          <w:szCs w:val="24"/>
          <w:u w:val="single"/>
        </w:rPr>
        <w:t>Notes S1</w:t>
      </w:r>
    </w:p>
    <w:p w:rsidR="004776FD" w:rsidRDefault="004776FD" w:rsidP="004776FD">
      <w:pPr>
        <w:widowControl w:val="0"/>
        <w:spacing w:line="360" w:lineRule="auto"/>
        <w:jc w:val="both"/>
        <w:rPr>
          <w:rFonts w:cs="Times New Roman"/>
          <w:szCs w:val="24"/>
        </w:rPr>
      </w:pPr>
      <w:r>
        <w:rPr>
          <w:rFonts w:cs="Times New Roman"/>
          <w:szCs w:val="24"/>
        </w:rPr>
        <w:t xml:space="preserve">Surface properties </w:t>
      </w:r>
      <w:r w:rsidRPr="00AB5F6E">
        <w:rPr>
          <w:rFonts w:cs="Times New Roman"/>
          <w:szCs w:val="24"/>
        </w:rPr>
        <w:t>were drawn by interpolation from corresponding gridded datasets in the NCAR database</w:t>
      </w:r>
      <w:r>
        <w:rPr>
          <w:rFonts w:cs="Times New Roman"/>
          <w:szCs w:val="24"/>
        </w:rPr>
        <w:t xml:space="preserve"> </w:t>
      </w:r>
      <w:r w:rsidRPr="00AB5F6E">
        <w:rPr>
          <w:rFonts w:cs="Times New Roman"/>
          <w:szCs w:val="24"/>
        </w:rPr>
        <w:t>(</w:t>
      </w:r>
      <w:proofErr w:type="spellStart"/>
      <w:r w:rsidRPr="00AB5F6E">
        <w:rPr>
          <w:rFonts w:cs="Times New Roman"/>
          <w:szCs w:val="24"/>
        </w:rPr>
        <w:t>Oleson</w:t>
      </w:r>
      <w:proofErr w:type="spellEnd"/>
      <w:r w:rsidRPr="00AB5F6E">
        <w:rPr>
          <w:rFonts w:cs="Times New Roman"/>
          <w:szCs w:val="24"/>
        </w:rPr>
        <w:t xml:space="preserve"> </w:t>
      </w:r>
      <w:r w:rsidRPr="00C57281">
        <w:rPr>
          <w:rFonts w:cs="Times New Roman"/>
          <w:i/>
          <w:szCs w:val="24"/>
        </w:rPr>
        <w:t>et al</w:t>
      </w:r>
      <w:r w:rsidRPr="00AB5F6E">
        <w:rPr>
          <w:rFonts w:cs="Times New Roman"/>
          <w:szCs w:val="24"/>
        </w:rPr>
        <w:t>., 2013)</w:t>
      </w:r>
      <w:r>
        <w:rPr>
          <w:rFonts w:cs="Times New Roman"/>
          <w:szCs w:val="24"/>
        </w:rPr>
        <w:t xml:space="preserve"> in the absence of site-specific data</w:t>
      </w:r>
      <w:r w:rsidRPr="00AB5F6E">
        <w:rPr>
          <w:rFonts w:cs="Times New Roman"/>
          <w:szCs w:val="24"/>
        </w:rPr>
        <w:t xml:space="preserve">. </w:t>
      </w:r>
      <w:r w:rsidRPr="007F1A38">
        <w:rPr>
          <w:rFonts w:cs="Times New Roman"/>
          <w:szCs w:val="24"/>
        </w:rPr>
        <w:t xml:space="preserve">Specifically, prescribed soil colors are from Lawrence &amp; Chase (2007) with a base spatial resolution of 0.5º. A prescribed mineral soil texture dataset, with a base spatial resolution of 0.083º, is from the International Geosphere-Biosphere </w:t>
      </w:r>
      <w:proofErr w:type="spellStart"/>
      <w:r w:rsidRPr="007F1A38">
        <w:rPr>
          <w:rFonts w:cs="Times New Roman"/>
          <w:szCs w:val="24"/>
        </w:rPr>
        <w:t>Programme</w:t>
      </w:r>
      <w:proofErr w:type="spellEnd"/>
      <w:r w:rsidRPr="007F1A38">
        <w:rPr>
          <w:rFonts w:cs="Times New Roman"/>
          <w:szCs w:val="24"/>
        </w:rPr>
        <w:t xml:space="preserve"> (IGBP) (</w:t>
      </w:r>
      <w:proofErr w:type="spellStart"/>
      <w:r w:rsidRPr="007F1A38">
        <w:rPr>
          <w:rFonts w:cs="Times New Roman"/>
          <w:szCs w:val="24"/>
        </w:rPr>
        <w:t>Bonan</w:t>
      </w:r>
      <w:proofErr w:type="spellEnd"/>
      <w:r w:rsidRPr="007F1A38">
        <w:rPr>
          <w:rFonts w:cs="Times New Roman"/>
          <w:szCs w:val="24"/>
        </w:rPr>
        <w:t xml:space="preserve"> et al., 2002). Leaf and stem area indices and canopy heights are prescribed for each PFT if the biogeochemistry model is inactive (as it is in this study). Prescribed percent PFTs (0.05º) are derived from Moderate Resolution Imaging </w:t>
      </w:r>
      <w:proofErr w:type="spellStart"/>
      <w:r w:rsidRPr="007F1A38">
        <w:rPr>
          <w:rFonts w:cs="Times New Roman"/>
          <w:szCs w:val="24"/>
        </w:rPr>
        <w:t>Spectroradiometer</w:t>
      </w:r>
      <w:proofErr w:type="spellEnd"/>
      <w:r w:rsidRPr="007F1A38">
        <w:rPr>
          <w:rFonts w:cs="Times New Roman"/>
          <w:szCs w:val="24"/>
        </w:rPr>
        <w:t xml:space="preserve"> (MODIS) satellite data (Lawrence &amp; Chase, 2007). Prescribed leaf area index for each PFT (0.5º) is derived from the MODIS satellite data of </w:t>
      </w:r>
      <w:proofErr w:type="spellStart"/>
      <w:r w:rsidRPr="007F1A38">
        <w:rPr>
          <w:rFonts w:cs="Times New Roman"/>
          <w:szCs w:val="24"/>
        </w:rPr>
        <w:t>Myneni</w:t>
      </w:r>
      <w:proofErr w:type="spellEnd"/>
      <w:r w:rsidRPr="007F1A38">
        <w:rPr>
          <w:rFonts w:cs="Times New Roman"/>
          <w:szCs w:val="24"/>
        </w:rPr>
        <w:t xml:space="preserve"> et al. (2002). Prescribed stem area index for each PFT is derived from the corresponding leaf area index using the methods of Zeng et al. (2002). And, prescribed canopy top and bottom heights are from </w:t>
      </w:r>
      <w:proofErr w:type="spellStart"/>
      <w:r w:rsidRPr="007F1A38">
        <w:rPr>
          <w:rFonts w:cs="Times New Roman"/>
          <w:szCs w:val="24"/>
        </w:rPr>
        <w:t>Bonan</w:t>
      </w:r>
      <w:proofErr w:type="spellEnd"/>
      <w:r w:rsidRPr="007F1A38">
        <w:rPr>
          <w:rFonts w:cs="Times New Roman"/>
          <w:szCs w:val="24"/>
        </w:rPr>
        <w:t xml:space="preserve"> (1996). Rooting distribution at all sites is derived from Jackson et al. (1996).</w:t>
      </w:r>
    </w:p>
    <w:p w:rsidR="004776FD" w:rsidRDefault="004776FD" w:rsidP="004776FD">
      <w:pPr>
        <w:widowControl w:val="0"/>
        <w:spacing w:line="360" w:lineRule="auto"/>
        <w:jc w:val="both"/>
        <w:rPr>
          <w:rFonts w:cs="Times New Roman"/>
          <w:szCs w:val="24"/>
        </w:rPr>
      </w:pPr>
    </w:p>
    <w:p w:rsidR="004776FD" w:rsidRPr="00886F10" w:rsidRDefault="004776FD" w:rsidP="004776FD">
      <w:pPr>
        <w:widowControl w:val="0"/>
        <w:spacing w:line="360" w:lineRule="auto"/>
        <w:ind w:left="270" w:hanging="270"/>
        <w:jc w:val="both"/>
        <w:rPr>
          <w:rFonts w:cs="Times New Roman"/>
          <w:szCs w:val="24"/>
        </w:rPr>
      </w:pPr>
      <w:proofErr w:type="spellStart"/>
      <w:r w:rsidRPr="00886F10">
        <w:rPr>
          <w:rFonts w:cs="Times New Roman"/>
          <w:szCs w:val="24"/>
        </w:rPr>
        <w:t>Bonan</w:t>
      </w:r>
      <w:proofErr w:type="spellEnd"/>
      <w:r w:rsidRPr="00886F10">
        <w:rPr>
          <w:rFonts w:cs="Times New Roman"/>
          <w:szCs w:val="24"/>
        </w:rPr>
        <w:t xml:space="preserve"> GB (1996) A land surface model (LSM version 1.0) for ecological, hydrological, and atmospheric studies: Technical description and user's guide. </w:t>
      </w:r>
      <w:proofErr w:type="gramStart"/>
      <w:r w:rsidRPr="00886F10">
        <w:rPr>
          <w:rFonts w:cs="Times New Roman"/>
          <w:szCs w:val="24"/>
        </w:rPr>
        <w:t>NCAR Technical Note NCAR/TN-417+STR, National Center for Atmospheric Research, Boulder, CO, 150 pp.</w:t>
      </w:r>
      <w:proofErr w:type="gramEnd"/>
    </w:p>
    <w:p w:rsidR="004776FD" w:rsidRDefault="004776FD" w:rsidP="004776FD">
      <w:pPr>
        <w:widowControl w:val="0"/>
        <w:spacing w:line="360" w:lineRule="auto"/>
        <w:ind w:left="270" w:hanging="270"/>
        <w:jc w:val="both"/>
        <w:rPr>
          <w:rFonts w:cs="Times New Roman"/>
          <w:szCs w:val="24"/>
        </w:rPr>
      </w:pPr>
      <w:proofErr w:type="spellStart"/>
      <w:r w:rsidRPr="00886F10">
        <w:rPr>
          <w:rFonts w:cs="Times New Roman"/>
          <w:szCs w:val="24"/>
        </w:rPr>
        <w:t>Bonan</w:t>
      </w:r>
      <w:proofErr w:type="spellEnd"/>
      <w:r w:rsidRPr="00886F10">
        <w:rPr>
          <w:rFonts w:cs="Times New Roman"/>
          <w:szCs w:val="24"/>
        </w:rPr>
        <w:t xml:space="preserve"> GB, Levis S, </w:t>
      </w:r>
      <w:proofErr w:type="spellStart"/>
      <w:r w:rsidRPr="00886F10">
        <w:rPr>
          <w:rFonts w:cs="Times New Roman"/>
          <w:szCs w:val="24"/>
        </w:rPr>
        <w:t>Kergoat</w:t>
      </w:r>
      <w:proofErr w:type="spellEnd"/>
      <w:r w:rsidRPr="00886F10">
        <w:rPr>
          <w:rFonts w:cs="Times New Roman"/>
          <w:szCs w:val="24"/>
        </w:rPr>
        <w:t xml:space="preserve"> L, </w:t>
      </w:r>
      <w:proofErr w:type="spellStart"/>
      <w:r w:rsidRPr="00886F10">
        <w:rPr>
          <w:rFonts w:cs="Times New Roman"/>
          <w:szCs w:val="24"/>
        </w:rPr>
        <w:t>Oleson</w:t>
      </w:r>
      <w:proofErr w:type="spellEnd"/>
      <w:r w:rsidRPr="00886F10">
        <w:rPr>
          <w:rFonts w:cs="Times New Roman"/>
          <w:szCs w:val="24"/>
        </w:rPr>
        <w:t xml:space="preserve"> KW (2002) Landscapes as patches of plant functional types: An integrating concept for climate and ecosystem models. </w:t>
      </w:r>
      <w:proofErr w:type="gramStart"/>
      <w:r w:rsidRPr="00886F10">
        <w:rPr>
          <w:rFonts w:cs="Times New Roman"/>
          <w:szCs w:val="24"/>
        </w:rPr>
        <w:t>Global Biogeochemical Cycles, 16 (2), 5.1–5.23.</w:t>
      </w:r>
      <w:proofErr w:type="gramEnd"/>
    </w:p>
    <w:p w:rsidR="004776FD" w:rsidRDefault="004776FD" w:rsidP="004776FD">
      <w:pPr>
        <w:widowControl w:val="0"/>
        <w:spacing w:line="360" w:lineRule="auto"/>
        <w:ind w:left="270" w:hanging="270"/>
        <w:jc w:val="both"/>
        <w:rPr>
          <w:rFonts w:cs="Times New Roman"/>
          <w:szCs w:val="24"/>
        </w:rPr>
      </w:pPr>
      <w:r w:rsidRPr="00886F10">
        <w:rPr>
          <w:rFonts w:cs="Times New Roman"/>
          <w:szCs w:val="24"/>
        </w:rPr>
        <w:t>Lawrence PJ, Chase TN (2007) Representing a MODIS consistent land surface in the Community Land Model (CLM 3.0). Journal of Geophysical Research, 112: G01023. DOI: 10.1029/2006JG000168.</w:t>
      </w:r>
    </w:p>
    <w:p w:rsidR="004776FD" w:rsidRDefault="004776FD" w:rsidP="004776FD">
      <w:pPr>
        <w:widowControl w:val="0"/>
        <w:spacing w:line="360" w:lineRule="auto"/>
        <w:ind w:left="270" w:hanging="270"/>
        <w:jc w:val="both"/>
        <w:rPr>
          <w:rFonts w:cs="Times New Roman"/>
          <w:szCs w:val="24"/>
        </w:rPr>
      </w:pPr>
      <w:proofErr w:type="spellStart"/>
      <w:r w:rsidRPr="00BB580F">
        <w:rPr>
          <w:rFonts w:cs="Times New Roman"/>
          <w:szCs w:val="24"/>
        </w:rPr>
        <w:t>Myneni</w:t>
      </w:r>
      <w:proofErr w:type="spellEnd"/>
      <w:r w:rsidRPr="00BB580F">
        <w:rPr>
          <w:rFonts w:cs="Times New Roman"/>
          <w:szCs w:val="24"/>
        </w:rPr>
        <w:t xml:space="preserve"> RB, Hoffman S, </w:t>
      </w:r>
      <w:proofErr w:type="spellStart"/>
      <w:r w:rsidRPr="00BB580F">
        <w:rPr>
          <w:rFonts w:cs="Times New Roman"/>
          <w:szCs w:val="24"/>
        </w:rPr>
        <w:t>Knyazikhin</w:t>
      </w:r>
      <w:proofErr w:type="spellEnd"/>
      <w:r w:rsidRPr="00BB580F">
        <w:rPr>
          <w:rFonts w:cs="Times New Roman"/>
          <w:szCs w:val="24"/>
        </w:rPr>
        <w:t xml:space="preserve"> Y et al. (2002) Global products of vegetation leaf area and fraction absorbed PAR from year one of MODIS data. Remote Sensing of Environment, 83, 214–231.</w:t>
      </w:r>
    </w:p>
    <w:p w:rsidR="004776FD" w:rsidRPr="00AB5F6E" w:rsidRDefault="004776FD" w:rsidP="004776FD">
      <w:pPr>
        <w:widowControl w:val="0"/>
        <w:spacing w:line="360" w:lineRule="auto"/>
        <w:ind w:left="270" w:hanging="270"/>
        <w:jc w:val="both"/>
        <w:rPr>
          <w:rFonts w:cs="Times New Roman"/>
          <w:szCs w:val="24"/>
        </w:rPr>
      </w:pPr>
      <w:r w:rsidRPr="00BB580F">
        <w:rPr>
          <w:rFonts w:cs="Times New Roman"/>
          <w:szCs w:val="24"/>
        </w:rPr>
        <w:t xml:space="preserve">Zeng X, Shaikh M, Dai Y, Dickinson RE, </w:t>
      </w:r>
      <w:proofErr w:type="spellStart"/>
      <w:r w:rsidRPr="00BB580F">
        <w:rPr>
          <w:rFonts w:cs="Times New Roman"/>
          <w:szCs w:val="24"/>
        </w:rPr>
        <w:t>Myneni</w:t>
      </w:r>
      <w:proofErr w:type="spellEnd"/>
      <w:r w:rsidRPr="00BB580F">
        <w:rPr>
          <w:rFonts w:cs="Times New Roman"/>
          <w:szCs w:val="24"/>
        </w:rPr>
        <w:t xml:space="preserve"> R (2002) Coupling of the Common Land Model to the NCAR Community Climate Model. Journal of Climate, 15, 1832–1854.</w:t>
      </w:r>
    </w:p>
    <w:p w:rsidR="004776FD" w:rsidRPr="004808C7" w:rsidRDefault="004776FD" w:rsidP="004776FD">
      <w:pPr>
        <w:spacing w:line="360" w:lineRule="auto"/>
        <w:rPr>
          <w:b/>
        </w:rPr>
      </w:pPr>
    </w:p>
    <w:p w:rsidR="004776FD" w:rsidRPr="003052C3" w:rsidRDefault="004776FD" w:rsidP="004776FD">
      <w:pPr>
        <w:spacing w:line="360" w:lineRule="auto"/>
        <w:rPr>
          <w:b/>
          <w:u w:val="single"/>
        </w:rPr>
      </w:pPr>
      <w:r>
        <w:rPr>
          <w:b/>
          <w:u w:val="single"/>
        </w:rPr>
        <w:t xml:space="preserve">Notes S2 </w:t>
      </w:r>
    </w:p>
    <w:p w:rsidR="004776FD" w:rsidRPr="004808C7" w:rsidRDefault="00254953" w:rsidP="004776FD">
      <w:pPr>
        <w:tabs>
          <w:tab w:val="left" w:pos="1477"/>
        </w:tabs>
        <w:spacing w:line="360" w:lineRule="auto"/>
        <w:rPr>
          <w:rFonts w:cs="Times New Roman"/>
          <w:szCs w:val="24"/>
        </w:rPr>
      </w:pPr>
      <w:r>
        <w:rPr>
          <w:rFonts w:cs="Times New Roman"/>
          <w:szCs w:val="24"/>
        </w:rPr>
        <w:t>S</w:t>
      </w:r>
      <w:r w:rsidR="004776FD" w:rsidRPr="00AB5F6E">
        <w:rPr>
          <w:rFonts w:cs="Times New Roman"/>
          <w:szCs w:val="24"/>
        </w:rPr>
        <w:t xml:space="preserve">oil moisture data for the six </w:t>
      </w:r>
      <w:r w:rsidR="004776FD">
        <w:rPr>
          <w:rFonts w:cs="Times New Roman"/>
          <w:szCs w:val="24"/>
        </w:rPr>
        <w:t>S</w:t>
      </w:r>
      <w:r w:rsidR="004776FD" w:rsidRPr="00AB5F6E">
        <w:rPr>
          <w:rFonts w:cs="Times New Roman"/>
          <w:szCs w:val="24"/>
        </w:rPr>
        <w:t>outhern California gradient sites</w:t>
      </w:r>
      <w:r w:rsidR="004776FD">
        <w:rPr>
          <w:rFonts w:cs="Times New Roman"/>
          <w:szCs w:val="24"/>
        </w:rPr>
        <w:t xml:space="preserve"> (US-SCs, g, f, w, c, d)</w:t>
      </w:r>
      <w:r w:rsidR="004776FD" w:rsidRPr="00AB5F6E">
        <w:rPr>
          <w:rFonts w:cs="Times New Roman"/>
          <w:szCs w:val="24"/>
        </w:rPr>
        <w:t xml:space="preserve"> were obtained from the </w:t>
      </w:r>
      <w:proofErr w:type="spellStart"/>
      <w:r w:rsidR="004776FD" w:rsidRPr="00AB5F6E">
        <w:rPr>
          <w:rFonts w:cs="Times New Roman"/>
          <w:szCs w:val="24"/>
        </w:rPr>
        <w:t>Gou</w:t>
      </w:r>
      <w:bookmarkStart w:id="0" w:name="_GoBack"/>
      <w:bookmarkEnd w:id="0"/>
      <w:r w:rsidR="004776FD" w:rsidRPr="00AB5F6E">
        <w:rPr>
          <w:rFonts w:cs="Times New Roman"/>
          <w:szCs w:val="24"/>
        </w:rPr>
        <w:t>lden</w:t>
      </w:r>
      <w:proofErr w:type="spellEnd"/>
      <w:r w:rsidR="004776FD" w:rsidRPr="00AB5F6E">
        <w:rPr>
          <w:rFonts w:cs="Times New Roman"/>
          <w:szCs w:val="24"/>
        </w:rPr>
        <w:t xml:space="preserve"> lab (http://www.ess.uci.edu/~california/). </w:t>
      </w:r>
      <w:r w:rsidR="004776FD">
        <w:rPr>
          <w:rFonts w:cs="Times New Roman"/>
          <w:szCs w:val="24"/>
        </w:rPr>
        <w:t>Each site had</w:t>
      </w:r>
      <w:r w:rsidR="004776FD" w:rsidRPr="00AB5F6E">
        <w:rPr>
          <w:rFonts w:cs="Times New Roman"/>
          <w:szCs w:val="24"/>
        </w:rPr>
        <w:t xml:space="preserve"> four CS-616 water content reflectomete</w:t>
      </w:r>
      <w:r w:rsidR="004776FD">
        <w:rPr>
          <w:rFonts w:cs="Times New Roman"/>
          <w:szCs w:val="24"/>
        </w:rPr>
        <w:t>rs (each sensing 0-30 cm depth). All sites except the driest (US-</w:t>
      </w:r>
      <w:proofErr w:type="spellStart"/>
      <w:r w:rsidR="004776FD">
        <w:rPr>
          <w:rFonts w:cs="Times New Roman"/>
          <w:szCs w:val="24"/>
        </w:rPr>
        <w:t>SCd</w:t>
      </w:r>
      <w:proofErr w:type="spellEnd"/>
      <w:r w:rsidR="004776FD">
        <w:rPr>
          <w:rFonts w:cs="Times New Roman"/>
          <w:szCs w:val="24"/>
        </w:rPr>
        <w:t xml:space="preserve">, Sonoran Desert) also had five CS-229 thermal dissipation probes installed a single </w:t>
      </w:r>
      <w:r w:rsidR="004776FD" w:rsidRPr="004808C7">
        <w:rPr>
          <w:rFonts w:cs="Times New Roman"/>
          <w:szCs w:val="24"/>
        </w:rPr>
        <w:t>profile at 5,</w:t>
      </w:r>
      <w:r w:rsidR="004776FD">
        <w:rPr>
          <w:rFonts w:cs="Times New Roman"/>
          <w:szCs w:val="24"/>
        </w:rPr>
        <w:t xml:space="preserve"> </w:t>
      </w:r>
      <w:r w:rsidR="004776FD" w:rsidRPr="004808C7">
        <w:rPr>
          <w:rFonts w:cs="Times New Roman"/>
          <w:szCs w:val="24"/>
        </w:rPr>
        <w:t>10,</w:t>
      </w:r>
      <w:r w:rsidR="004776FD">
        <w:rPr>
          <w:rFonts w:cs="Times New Roman"/>
          <w:szCs w:val="24"/>
        </w:rPr>
        <w:t xml:space="preserve"> </w:t>
      </w:r>
      <w:r w:rsidR="004776FD" w:rsidRPr="004808C7">
        <w:rPr>
          <w:rFonts w:cs="Times New Roman"/>
          <w:szCs w:val="24"/>
        </w:rPr>
        <w:t>25,</w:t>
      </w:r>
      <w:r w:rsidR="004776FD">
        <w:rPr>
          <w:rFonts w:cs="Times New Roman"/>
          <w:szCs w:val="24"/>
        </w:rPr>
        <w:t xml:space="preserve"> </w:t>
      </w:r>
      <w:r w:rsidR="004776FD" w:rsidRPr="004808C7">
        <w:rPr>
          <w:rFonts w:cs="Times New Roman"/>
          <w:szCs w:val="24"/>
        </w:rPr>
        <w:t>100, and 200 cm depths. CS-229 probes were not calibrated in the lab, so a rough field calibration was developed by comparing the 5, 10, and 25 cm CS-229 probe output with the CS-616 water content reflectometer data (measuring 0-30 cm soil water content, inclusive).  Two approaches were used.  In the first,  output from the profile sensors was calibrated from field data by grouping the 5, 10, and 25 cm probe output, corrected to 20</w:t>
      </w:r>
      <w:r w:rsidR="004776FD">
        <w:rPr>
          <w:rFonts w:cs="Times New Roman"/>
          <w:szCs w:val="24"/>
        </w:rPr>
        <w:t xml:space="preserve"> </w:t>
      </w:r>
      <w:proofErr w:type="spellStart"/>
      <w:r w:rsidR="004776FD" w:rsidRPr="004808C7">
        <w:rPr>
          <w:rFonts w:cs="Times New Roman"/>
          <w:szCs w:val="24"/>
          <w:vertAlign w:val="superscript"/>
        </w:rPr>
        <w:t>o</w:t>
      </w:r>
      <w:r w:rsidR="004776FD" w:rsidRPr="004808C7">
        <w:rPr>
          <w:rFonts w:cs="Times New Roman"/>
          <w:szCs w:val="24"/>
        </w:rPr>
        <w:t>C</w:t>
      </w:r>
      <w:proofErr w:type="spellEnd"/>
      <w:r w:rsidR="004776FD" w:rsidRPr="004808C7">
        <w:rPr>
          <w:rFonts w:cs="Times New Roman"/>
          <w:szCs w:val="24"/>
        </w:rPr>
        <w:t xml:space="preserve">, and graphing it against the natural log of the soil matric potential as specified in the calibration section of the CS-229 manual. That matric potential was calculated from the temperature-corrected soil moisture data from 0-30cm CS-616 probes combined with expected water retention characteristics for the site soil types (Clapp and </w:t>
      </w:r>
      <w:proofErr w:type="spellStart"/>
      <w:proofErr w:type="gramStart"/>
      <w:r w:rsidR="004776FD" w:rsidRPr="004808C7">
        <w:rPr>
          <w:rFonts w:cs="Times New Roman"/>
          <w:szCs w:val="24"/>
        </w:rPr>
        <w:t>Hornberger</w:t>
      </w:r>
      <w:proofErr w:type="spellEnd"/>
      <w:r w:rsidR="004776FD" w:rsidRPr="004808C7">
        <w:rPr>
          <w:rFonts w:cs="Times New Roman"/>
          <w:szCs w:val="24"/>
        </w:rPr>
        <w:t xml:space="preserve"> ,</w:t>
      </w:r>
      <w:proofErr w:type="gramEnd"/>
      <w:r w:rsidR="004776FD" w:rsidRPr="004808C7">
        <w:rPr>
          <w:rFonts w:cs="Times New Roman"/>
          <w:szCs w:val="24"/>
        </w:rPr>
        <w:t xml:space="preserve">1978).  The ranges of these parameters for different soil types </w:t>
      </w:r>
      <w:r w:rsidR="004776FD">
        <w:rPr>
          <w:rFonts w:cs="Times New Roman"/>
          <w:szCs w:val="24"/>
        </w:rPr>
        <w:t>are</w:t>
      </w:r>
      <w:r w:rsidR="004776FD" w:rsidRPr="004808C7">
        <w:rPr>
          <w:rFonts w:cs="Times New Roman"/>
          <w:szCs w:val="24"/>
        </w:rPr>
        <w:t xml:space="preserve"> quite large and strongly affect calculation of matric potential.  So, the known insensitivity of the CS-229 probes at water potentia</w:t>
      </w:r>
      <w:r w:rsidR="004776FD">
        <w:rPr>
          <w:rFonts w:cs="Times New Roman"/>
          <w:szCs w:val="24"/>
        </w:rPr>
        <w:t>ls below -2.5 MPa was also used</w:t>
      </w:r>
      <w:r w:rsidR="004776FD" w:rsidRPr="004808C7">
        <w:rPr>
          <w:rFonts w:cs="Times New Roman"/>
          <w:szCs w:val="24"/>
        </w:rPr>
        <w:t xml:space="preserve">; probe output clearly </w:t>
      </w:r>
      <w:proofErr w:type="spellStart"/>
      <w:r w:rsidR="004776FD" w:rsidRPr="004808C7">
        <w:rPr>
          <w:rFonts w:cs="Times New Roman"/>
          <w:szCs w:val="24"/>
        </w:rPr>
        <w:t>flatlined</w:t>
      </w:r>
      <w:proofErr w:type="spellEnd"/>
      <w:r w:rsidR="004776FD" w:rsidRPr="004808C7">
        <w:rPr>
          <w:rFonts w:cs="Times New Roman"/>
          <w:szCs w:val="24"/>
        </w:rPr>
        <w:t xml:space="preserve"> as soils dried. The best fit single calibration was applied to all </w:t>
      </w:r>
      <w:r w:rsidR="004776FD">
        <w:rPr>
          <w:rFonts w:cs="Times New Roman"/>
          <w:szCs w:val="24"/>
        </w:rPr>
        <w:t>five</w:t>
      </w:r>
      <w:r w:rsidR="004776FD" w:rsidRPr="004808C7">
        <w:rPr>
          <w:rFonts w:cs="Times New Roman"/>
          <w:szCs w:val="24"/>
        </w:rPr>
        <w:t xml:space="preserve"> sensors at each site. </w:t>
      </w:r>
    </w:p>
    <w:p w:rsidR="004776FD" w:rsidRPr="004808C7" w:rsidRDefault="004776FD" w:rsidP="004776FD">
      <w:pPr>
        <w:tabs>
          <w:tab w:val="left" w:pos="720"/>
        </w:tabs>
        <w:spacing w:line="360" w:lineRule="auto"/>
      </w:pPr>
      <w:r w:rsidRPr="004808C7">
        <w:rPr>
          <w:rFonts w:cs="Times New Roman"/>
          <w:szCs w:val="24"/>
        </w:rPr>
        <w:tab/>
        <w:t>A second more conservative field calibration was then</w:t>
      </w:r>
      <w:r>
        <w:rPr>
          <w:rFonts w:cs="Times New Roman"/>
          <w:szCs w:val="24"/>
        </w:rPr>
        <w:t xml:space="preserve"> developed</w:t>
      </w:r>
      <w:r w:rsidRPr="004808C7">
        <w:rPr>
          <w:rFonts w:cs="Times New Roman"/>
          <w:szCs w:val="24"/>
        </w:rPr>
        <w:t xml:space="preserve">. Rather than translating the CS-616 output to water potential using the generalized Clapp and </w:t>
      </w:r>
      <w:proofErr w:type="spellStart"/>
      <w:r w:rsidRPr="004808C7">
        <w:rPr>
          <w:rFonts w:cs="Times New Roman"/>
          <w:szCs w:val="24"/>
        </w:rPr>
        <w:t>Hornberger</w:t>
      </w:r>
      <w:proofErr w:type="spellEnd"/>
      <w:r w:rsidRPr="004808C7">
        <w:rPr>
          <w:rFonts w:cs="Times New Roman"/>
          <w:szCs w:val="24"/>
        </w:rPr>
        <w:t xml:space="preserve"> (1978) parameters, we instead simply compared the CS-229 and CS-616 outputs directly, and found ranges of soil moisture within which there were clear dynamics in CS-229 output.  A sample of the relationship is shown in Fig</w:t>
      </w:r>
      <w:r>
        <w:rPr>
          <w:rFonts w:cs="Times New Roman"/>
          <w:szCs w:val="24"/>
        </w:rPr>
        <w:t>.</w:t>
      </w:r>
      <w:r w:rsidRPr="004808C7">
        <w:rPr>
          <w:rFonts w:cs="Times New Roman"/>
          <w:szCs w:val="24"/>
        </w:rPr>
        <w:t xml:space="preserve"> </w:t>
      </w:r>
      <w:proofErr w:type="gramStart"/>
      <w:r w:rsidRPr="004808C7">
        <w:rPr>
          <w:rFonts w:cs="Times New Roman"/>
          <w:szCs w:val="24"/>
        </w:rPr>
        <w:t xml:space="preserve">S1d, from the Desert </w:t>
      </w:r>
      <w:proofErr w:type="spellStart"/>
      <w:r w:rsidRPr="004808C7">
        <w:rPr>
          <w:rFonts w:cs="Times New Roman"/>
          <w:szCs w:val="24"/>
        </w:rPr>
        <w:t>Chapparal</w:t>
      </w:r>
      <w:proofErr w:type="spellEnd"/>
      <w:r w:rsidRPr="004808C7">
        <w:rPr>
          <w:rFonts w:cs="Times New Roman"/>
          <w:szCs w:val="24"/>
        </w:rPr>
        <w:t xml:space="preserve"> US-</w:t>
      </w:r>
      <w:proofErr w:type="spellStart"/>
      <w:r w:rsidRPr="004808C7">
        <w:rPr>
          <w:rFonts w:cs="Times New Roman"/>
          <w:szCs w:val="24"/>
        </w:rPr>
        <w:t>SCc</w:t>
      </w:r>
      <w:proofErr w:type="spellEnd"/>
      <w:r w:rsidRPr="004808C7">
        <w:rPr>
          <w:rFonts w:cs="Times New Roman"/>
          <w:szCs w:val="24"/>
        </w:rPr>
        <w:t xml:space="preserve"> site.</w:t>
      </w:r>
      <w:proofErr w:type="gramEnd"/>
      <w:r w:rsidRPr="004808C7">
        <w:rPr>
          <w:rFonts w:cs="Times New Roman"/>
          <w:szCs w:val="24"/>
        </w:rPr>
        <w:t xml:space="preserve">  Using only the data from CS-229 output within the sensors’ dynamic range, CS-229 output was translated </w:t>
      </w:r>
      <w:r>
        <w:rPr>
          <w:rFonts w:cs="Times New Roman"/>
          <w:szCs w:val="24"/>
        </w:rPr>
        <w:t>into a rough</w:t>
      </w:r>
      <w:r w:rsidRPr="004808C7">
        <w:rPr>
          <w:rFonts w:cs="Times New Roman"/>
          <w:szCs w:val="24"/>
        </w:rPr>
        <w:t xml:space="preserve"> estimate of soil water content, at the 5, 10, 25, 50, 100, and 200 cm depths.  Data are presented as colored lines, one per panel, for each site and depth at each site (Fig</w:t>
      </w:r>
      <w:r>
        <w:rPr>
          <w:rFonts w:cs="Times New Roman"/>
          <w:szCs w:val="24"/>
        </w:rPr>
        <w:t>s</w:t>
      </w:r>
      <w:r w:rsidRPr="004808C7">
        <w:rPr>
          <w:rFonts w:cs="Times New Roman"/>
          <w:szCs w:val="24"/>
        </w:rPr>
        <w:t xml:space="preserve"> S2-6). Water content predicted at the various depths by CLM4.5+HR and CLM4.5 is also included as blue and red lines, respectively. CS-229 data were already </w:t>
      </w:r>
      <w:r>
        <w:rPr>
          <w:rFonts w:cs="Times New Roman"/>
          <w:szCs w:val="24"/>
        </w:rPr>
        <w:t>more spotty than CS-616 data fr</w:t>
      </w:r>
      <w:r w:rsidRPr="004808C7">
        <w:rPr>
          <w:rFonts w:cs="Times New Roman"/>
          <w:szCs w:val="24"/>
        </w:rPr>
        <w:t>om each site, and by using output only in the CS-229 dynamic range, information from these probe</w:t>
      </w:r>
      <w:r>
        <w:rPr>
          <w:rFonts w:cs="Times New Roman"/>
          <w:szCs w:val="24"/>
        </w:rPr>
        <w:t>s  is spotty and confined to mid-</w:t>
      </w:r>
      <w:r w:rsidRPr="004808C7">
        <w:rPr>
          <w:rFonts w:cs="Times New Roman"/>
          <w:szCs w:val="24"/>
        </w:rPr>
        <w:t>ranges of soil moi</w:t>
      </w:r>
      <w:r>
        <w:rPr>
          <w:rFonts w:cs="Times New Roman"/>
          <w:szCs w:val="24"/>
        </w:rPr>
        <w:t>sture content. Still, the data</w:t>
      </w:r>
      <w:r w:rsidRPr="004808C7">
        <w:rPr>
          <w:rFonts w:cs="Times New Roman"/>
          <w:szCs w:val="24"/>
        </w:rPr>
        <w:t xml:space="preserve"> are </w:t>
      </w:r>
      <w:r w:rsidRPr="004808C7">
        <w:rPr>
          <w:rFonts w:cs="Times New Roman"/>
          <w:szCs w:val="24"/>
        </w:rPr>
        <w:lastRenderedPageBreak/>
        <w:t xml:space="preserve">informative, in that they show that throughout the soil column, there are clear time periods in which deep soil moisture is quite dynamic. </w:t>
      </w:r>
    </w:p>
    <w:p w:rsidR="004776FD" w:rsidRPr="004808C7" w:rsidRDefault="004776FD" w:rsidP="004776FD">
      <w:pPr>
        <w:tabs>
          <w:tab w:val="left" w:pos="720"/>
        </w:tabs>
        <w:spacing w:line="360" w:lineRule="auto"/>
      </w:pPr>
      <w:r w:rsidRPr="004808C7">
        <w:rPr>
          <w:rFonts w:cs="Times New Roman"/>
          <w:szCs w:val="24"/>
        </w:rPr>
        <w:tab/>
        <w:t>During windows of time when sensors were operating and soil moisture was at its mid-range, the CS-229 sensors had the potential to provide enough information to use in wavelet analysis to detect the signature of upward hydraulic redistribution.</w:t>
      </w:r>
      <w:r w:rsidRPr="004808C7">
        <w:t xml:space="preserve"> However, </w:t>
      </w:r>
      <w:r>
        <w:t xml:space="preserve">the analysis was complicated by several factors. </w:t>
      </w:r>
      <w:r>
        <w:rPr>
          <w:rFonts w:cs="Times New Roman"/>
          <w:szCs w:val="24"/>
        </w:rPr>
        <w:t>A</w:t>
      </w:r>
      <w:r w:rsidRPr="004808C7">
        <w:rPr>
          <w:rFonts w:cs="Times New Roman"/>
          <w:szCs w:val="24"/>
        </w:rPr>
        <w:t xml:space="preserve">fter temperature correction following manufacturer directions, diel variation in </w:t>
      </w:r>
      <w:r>
        <w:rPr>
          <w:rFonts w:cs="Times New Roman"/>
          <w:szCs w:val="24"/>
        </w:rPr>
        <w:t xml:space="preserve">CS-616 and CS-229 </w:t>
      </w:r>
      <w:r w:rsidRPr="004808C7">
        <w:rPr>
          <w:rFonts w:cs="Times New Roman"/>
          <w:szCs w:val="24"/>
        </w:rPr>
        <w:t>sensor output persisted</w:t>
      </w:r>
      <w:r>
        <w:rPr>
          <w:rFonts w:cs="Times New Roman"/>
          <w:szCs w:val="24"/>
        </w:rPr>
        <w:t xml:space="preserve"> throughout the time periods observed</w:t>
      </w:r>
      <w:r w:rsidRPr="004808C7">
        <w:rPr>
          <w:rFonts w:cs="Times New Roman"/>
          <w:szCs w:val="24"/>
        </w:rPr>
        <w:t>, likely for several reasons. The CS-616 temperature correction algorithm was developed from 10-40</w:t>
      </w:r>
      <w:r w:rsidRPr="004808C7">
        <w:rPr>
          <w:rFonts w:cs="Times New Roman"/>
          <w:szCs w:val="24"/>
          <w:vertAlign w:val="superscript"/>
        </w:rPr>
        <w:t>o</w:t>
      </w:r>
      <w:r w:rsidRPr="004808C7">
        <w:rPr>
          <w:rFonts w:cs="Times New Roman"/>
          <w:szCs w:val="24"/>
        </w:rPr>
        <w:t>C, with constant temperature along the 30cm long CS-616 rod; however, temperatures at the sites dipped below 10</w:t>
      </w:r>
      <w:r w:rsidRPr="004808C7">
        <w:rPr>
          <w:rFonts w:cs="Times New Roman"/>
          <w:szCs w:val="24"/>
          <w:vertAlign w:val="superscript"/>
        </w:rPr>
        <w:t>o</w:t>
      </w:r>
      <w:r w:rsidRPr="004808C7">
        <w:rPr>
          <w:rFonts w:cs="Times New Roman"/>
          <w:szCs w:val="24"/>
        </w:rPr>
        <w:t>C, and the separate CS-229 probes at 5, 10, and 25 cm reported that temperatures were not constant in the soil column from 0 to 30 cm. CS-616 temperature correction is therefore imperfect, but data are still useful with caveats. The CS-229 correction is presented in the manual from 10 to 30</w:t>
      </w:r>
      <w:r w:rsidRPr="004808C7">
        <w:rPr>
          <w:rFonts w:cs="Times New Roman"/>
          <w:szCs w:val="24"/>
          <w:vertAlign w:val="superscript"/>
        </w:rPr>
        <w:t>o</w:t>
      </w:r>
      <w:r w:rsidRPr="004808C7">
        <w:rPr>
          <w:rFonts w:cs="Times New Roman"/>
          <w:szCs w:val="24"/>
        </w:rPr>
        <w:t>C, and the sensors themselves are described as having output linearly related to the ln of matric potential only down to -2</w:t>
      </w:r>
      <w:r>
        <w:rPr>
          <w:rFonts w:cs="Times New Roman"/>
          <w:szCs w:val="24"/>
        </w:rPr>
        <w:t>.</w:t>
      </w:r>
      <w:r w:rsidRPr="004808C7">
        <w:rPr>
          <w:rFonts w:cs="Times New Roman"/>
          <w:szCs w:val="24"/>
        </w:rPr>
        <w:t>5</w:t>
      </w:r>
      <w:r>
        <w:rPr>
          <w:rFonts w:cs="Times New Roman"/>
          <w:szCs w:val="24"/>
        </w:rPr>
        <w:t xml:space="preserve"> M</w:t>
      </w:r>
      <w:r w:rsidRPr="004808C7">
        <w:rPr>
          <w:rFonts w:cs="Times New Roman"/>
          <w:szCs w:val="24"/>
        </w:rPr>
        <w:t>Pa.  Temperatures at the sites dipped below 10</w:t>
      </w:r>
      <w:r w:rsidRPr="004808C7">
        <w:rPr>
          <w:rFonts w:cs="Times New Roman"/>
          <w:szCs w:val="24"/>
          <w:vertAlign w:val="superscript"/>
        </w:rPr>
        <w:t>o</w:t>
      </w:r>
      <w:r w:rsidRPr="004808C7">
        <w:rPr>
          <w:rFonts w:cs="Times New Roman"/>
          <w:szCs w:val="24"/>
        </w:rPr>
        <w:t>C, above 30</w:t>
      </w:r>
      <w:r w:rsidRPr="004808C7">
        <w:rPr>
          <w:rFonts w:cs="Times New Roman"/>
          <w:szCs w:val="24"/>
          <w:vertAlign w:val="superscript"/>
        </w:rPr>
        <w:t>o</w:t>
      </w:r>
      <w:r w:rsidRPr="004808C7">
        <w:rPr>
          <w:rFonts w:cs="Times New Roman"/>
          <w:szCs w:val="24"/>
        </w:rPr>
        <w:t>C, and soil water potential dropped significantly below -2</w:t>
      </w:r>
      <w:r>
        <w:rPr>
          <w:rFonts w:cs="Times New Roman"/>
          <w:szCs w:val="24"/>
        </w:rPr>
        <w:t>.</w:t>
      </w:r>
      <w:r w:rsidRPr="004808C7">
        <w:rPr>
          <w:rFonts w:cs="Times New Roman"/>
          <w:szCs w:val="24"/>
        </w:rPr>
        <w:t>5</w:t>
      </w:r>
      <w:r>
        <w:rPr>
          <w:rFonts w:cs="Times New Roman"/>
          <w:szCs w:val="24"/>
        </w:rPr>
        <w:t xml:space="preserve"> M</w:t>
      </w:r>
      <w:r w:rsidRPr="004808C7">
        <w:rPr>
          <w:rFonts w:cs="Times New Roman"/>
          <w:szCs w:val="24"/>
        </w:rPr>
        <w:t xml:space="preserve">Pa for large portions of the dry season.  Also, small diel oscillations in sensor output, of similar magnitude from all probes at some sites, no matter their depth, and varying as a function not of local temperature at the sensors themselves but instead air temperature and soil surface temperature, all were consistent with the possibility that the reference thermistor and sensor connection points in the measurement junction box aboveground were separated enough thermally for a gradient to develop on a diel rhythm. Again, temperature correction and sensor output are therefore imperfect, but still useful. </w:t>
      </w:r>
    </w:p>
    <w:p w:rsidR="004776FD" w:rsidRDefault="004776FD" w:rsidP="004776FD">
      <w:pPr>
        <w:widowControl w:val="0"/>
        <w:spacing w:line="360" w:lineRule="auto"/>
        <w:ind w:firstLine="720"/>
        <w:jc w:val="both"/>
        <w:rPr>
          <w:rFonts w:cs="Times New Roman"/>
          <w:szCs w:val="24"/>
        </w:rPr>
      </w:pPr>
      <w:r w:rsidRPr="004808C7">
        <w:rPr>
          <w:rFonts w:cs="Times New Roman"/>
          <w:szCs w:val="24"/>
        </w:rPr>
        <w:t xml:space="preserve">Data from both soil moisture sensor types at the Southern California sites were used conservatively. For the large changes in soil moisture content over seasons, the CS-616 output reflected influences of rainstorms and the mid-year dry season </w:t>
      </w:r>
      <w:proofErr w:type="spellStart"/>
      <w:r w:rsidRPr="004808C7">
        <w:rPr>
          <w:rFonts w:cs="Times New Roman"/>
          <w:szCs w:val="24"/>
        </w:rPr>
        <w:t>drydown</w:t>
      </w:r>
      <w:proofErr w:type="spellEnd"/>
      <w:r w:rsidRPr="004808C7">
        <w:rPr>
          <w:rFonts w:cs="Times New Roman"/>
          <w:szCs w:val="24"/>
        </w:rPr>
        <w:t xml:space="preserve"> of soil; model output is compared to these data in Fig.</w:t>
      </w:r>
      <w:r>
        <w:rPr>
          <w:rFonts w:cs="Times New Roman"/>
          <w:szCs w:val="24"/>
        </w:rPr>
        <w:t xml:space="preserve"> 1</w:t>
      </w:r>
      <w:r w:rsidRPr="004808C7">
        <w:rPr>
          <w:rFonts w:cs="Times New Roman"/>
          <w:szCs w:val="24"/>
        </w:rPr>
        <w:t xml:space="preserve">. In the literature, sensor output indicating nighttime increases in soil moisture followed by daytime decreases are used as a signature of HR, but we only recognized such oscillations from the 0-30cm CS-616 or CS-229 probes as signatures of HR if </w:t>
      </w:r>
      <w:r>
        <w:rPr>
          <w:rFonts w:cs="Times New Roman"/>
          <w:szCs w:val="24"/>
        </w:rPr>
        <w:t xml:space="preserve">they were clearly stronger than </w:t>
      </w:r>
      <w:r w:rsidRPr="004808C7">
        <w:rPr>
          <w:rFonts w:cs="Times New Roman"/>
          <w:szCs w:val="24"/>
        </w:rPr>
        <w:t xml:space="preserve">putative temperature-induced oscillations in surrounding portions </w:t>
      </w:r>
      <w:r>
        <w:rPr>
          <w:rFonts w:cs="Times New Roman"/>
          <w:szCs w:val="24"/>
        </w:rPr>
        <w:t xml:space="preserve">of the signal trace (e.g. </w:t>
      </w:r>
      <w:r w:rsidRPr="004808C7">
        <w:rPr>
          <w:rFonts w:cs="Times New Roman"/>
          <w:szCs w:val="24"/>
        </w:rPr>
        <w:t>Fig</w:t>
      </w:r>
      <w:r>
        <w:rPr>
          <w:rFonts w:cs="Times New Roman"/>
          <w:szCs w:val="24"/>
        </w:rPr>
        <w:t>.</w:t>
      </w:r>
      <w:r w:rsidRPr="004808C7">
        <w:rPr>
          <w:rFonts w:cs="Times New Roman"/>
          <w:szCs w:val="24"/>
        </w:rPr>
        <w:t xml:space="preserve"> </w:t>
      </w:r>
      <w:r>
        <w:rPr>
          <w:rFonts w:cs="Times New Roman"/>
          <w:szCs w:val="24"/>
        </w:rPr>
        <w:t>S</w:t>
      </w:r>
      <w:r w:rsidRPr="004808C7">
        <w:rPr>
          <w:rFonts w:cs="Times New Roman"/>
          <w:szCs w:val="24"/>
        </w:rPr>
        <w:t>1a</w:t>
      </w:r>
      <w:r>
        <w:rPr>
          <w:rFonts w:cs="Times New Roman"/>
          <w:szCs w:val="24"/>
        </w:rPr>
        <w:t xml:space="preserve">, </w:t>
      </w:r>
      <w:r>
        <w:rPr>
          <w:rFonts w:cs="Times New Roman"/>
          <w:szCs w:val="24"/>
        </w:rPr>
        <w:lastRenderedPageBreak/>
        <w:t>larger oscillations beginning around day 180 in the 5 cm trace</w:t>
      </w:r>
      <w:r w:rsidRPr="004808C7">
        <w:rPr>
          <w:rFonts w:cs="Times New Roman"/>
          <w:szCs w:val="24"/>
        </w:rPr>
        <w:t>.) We used the CS-229 probe output largely to corroborate CS-616 information, identifying time periods where HR is likely occurring at the sites. We made use of the putative temperature-induced oscillations (of one day period</w:t>
      </w:r>
      <w:r>
        <w:rPr>
          <w:rFonts w:cs="Times New Roman"/>
          <w:szCs w:val="24"/>
        </w:rPr>
        <w:t>, labeled “rhythmic noise” in Fig. S1a</w:t>
      </w:r>
      <w:r w:rsidRPr="004808C7">
        <w:rPr>
          <w:rFonts w:cs="Times New Roman"/>
          <w:szCs w:val="24"/>
        </w:rPr>
        <w:t xml:space="preserve">) as a regular signal </w:t>
      </w:r>
      <w:r>
        <w:rPr>
          <w:rFonts w:cs="Times New Roman"/>
          <w:szCs w:val="24"/>
        </w:rPr>
        <w:t>visible in</w:t>
      </w:r>
      <w:r w:rsidRPr="004808C7">
        <w:rPr>
          <w:rFonts w:cs="Times New Roman"/>
          <w:szCs w:val="24"/>
        </w:rPr>
        <w:t xml:space="preserve"> all the sensor streams, and we used wavelet analysis (downloaded from http://www.glaciology.net/wavelet-coherence) within </w:t>
      </w:r>
      <w:proofErr w:type="spellStart"/>
      <w:r w:rsidRPr="004808C7">
        <w:rPr>
          <w:rFonts w:cs="Times New Roman"/>
          <w:szCs w:val="24"/>
        </w:rPr>
        <w:t>Matlab</w:t>
      </w:r>
      <w:proofErr w:type="spellEnd"/>
      <w:r w:rsidRPr="004808C7">
        <w:rPr>
          <w:rFonts w:cs="Times New Roman"/>
          <w:szCs w:val="24"/>
        </w:rPr>
        <w:t xml:space="preserve"> (</w:t>
      </w:r>
      <w:proofErr w:type="spellStart"/>
      <w:r w:rsidRPr="004808C7">
        <w:rPr>
          <w:rFonts w:cs="Times New Roman"/>
          <w:szCs w:val="24"/>
        </w:rPr>
        <w:t>Mathworks</w:t>
      </w:r>
      <w:proofErr w:type="spellEnd"/>
      <w:r w:rsidRPr="004808C7">
        <w:rPr>
          <w:rFonts w:cs="Times New Roman"/>
          <w:szCs w:val="24"/>
        </w:rPr>
        <w:t xml:space="preserve">, Natick, MA) to detect periods of possible HR as a shift in the phase of the oscillation </w:t>
      </w:r>
      <w:r>
        <w:rPr>
          <w:rFonts w:cs="Times New Roman"/>
          <w:szCs w:val="24"/>
        </w:rPr>
        <w:t>(</w:t>
      </w:r>
      <w:r w:rsidRPr="004808C7">
        <w:rPr>
          <w:rFonts w:cs="Times New Roman"/>
          <w:szCs w:val="24"/>
        </w:rPr>
        <w:t>Fig</w:t>
      </w:r>
      <w:r>
        <w:rPr>
          <w:rFonts w:cs="Times New Roman"/>
          <w:szCs w:val="24"/>
        </w:rPr>
        <w:t>.</w:t>
      </w:r>
      <w:r w:rsidRPr="004808C7">
        <w:rPr>
          <w:rFonts w:cs="Times New Roman"/>
          <w:szCs w:val="24"/>
        </w:rPr>
        <w:t xml:space="preserve"> </w:t>
      </w:r>
      <w:proofErr w:type="gramStart"/>
      <w:r>
        <w:rPr>
          <w:rFonts w:cs="Times New Roman"/>
          <w:szCs w:val="24"/>
        </w:rPr>
        <w:t>S</w:t>
      </w:r>
      <w:r w:rsidRPr="004808C7">
        <w:rPr>
          <w:rFonts w:cs="Times New Roman"/>
          <w:szCs w:val="24"/>
        </w:rPr>
        <w:t>1b</w:t>
      </w:r>
      <w:r>
        <w:rPr>
          <w:rFonts w:cs="Times New Roman"/>
          <w:szCs w:val="24"/>
        </w:rPr>
        <w:t xml:space="preserve"> &amp; c</w:t>
      </w:r>
      <w:r w:rsidRPr="004808C7">
        <w:rPr>
          <w:rFonts w:cs="Times New Roman"/>
          <w:szCs w:val="24"/>
        </w:rPr>
        <w:t>).</w:t>
      </w:r>
      <w:proofErr w:type="gramEnd"/>
      <w:r w:rsidRPr="004808C7">
        <w:rPr>
          <w:rFonts w:cs="Times New Roman"/>
          <w:szCs w:val="24"/>
        </w:rPr>
        <w:t xml:space="preserve"> </w:t>
      </w:r>
      <w:r w:rsidRPr="002E7452">
        <w:rPr>
          <w:rFonts w:cs="Times New Roman"/>
          <w:szCs w:val="24"/>
        </w:rPr>
        <w:t>This approach allowed detection of upward HR to the 5 and 10 cm probes no matter the depth of source water.</w:t>
      </w:r>
      <w:r>
        <w:rPr>
          <w:rFonts w:cs="Times New Roman"/>
          <w:szCs w:val="24"/>
        </w:rPr>
        <w:t xml:space="preserve"> </w:t>
      </w:r>
    </w:p>
    <w:p w:rsidR="004776FD" w:rsidRDefault="004776FD" w:rsidP="004776FD">
      <w:pPr>
        <w:widowControl w:val="0"/>
        <w:spacing w:line="360" w:lineRule="auto"/>
        <w:ind w:firstLine="720"/>
        <w:jc w:val="both"/>
        <w:rPr>
          <w:rFonts w:cs="Times New Roman"/>
          <w:szCs w:val="24"/>
        </w:rPr>
      </w:pPr>
      <w:r w:rsidRPr="004808C7">
        <w:rPr>
          <w:rFonts w:cs="Times New Roman"/>
          <w:szCs w:val="24"/>
        </w:rPr>
        <w:t>Clear periodicity in signal is detected at all depths</w:t>
      </w:r>
      <w:r>
        <w:rPr>
          <w:rFonts w:cs="Times New Roman"/>
          <w:szCs w:val="24"/>
        </w:rPr>
        <w:t xml:space="preserve"> (hot colors across all days, at period 1 day). But the phase of periodicity for the 5 and 10 cm depth probes shifts in the middle of the time course, when HR occurs; this shift in phase is indicated by the directionality of the arrows superimposed on each panel in Fig. S1b.  Arrows pointing to the right indicate signals are in phase.  Arrows pointing to the left indicate signals are 180 degrees out of phase. This HR-linked phase shift occurred because HR drives an oscillation in sensor output of 1 day period but different timing from the putative temperature oscillation; HR increases sensor output in upper soil layers during the night.  </w:t>
      </w:r>
      <w:proofErr w:type="gramStart"/>
      <w:r>
        <w:rPr>
          <w:rFonts w:cs="Times New Roman"/>
          <w:szCs w:val="24"/>
        </w:rPr>
        <w:t>Fig.</w:t>
      </w:r>
      <w:proofErr w:type="gramEnd"/>
      <w:r>
        <w:rPr>
          <w:rFonts w:cs="Times New Roman"/>
          <w:szCs w:val="24"/>
        </w:rPr>
        <w:t xml:space="preserve"> S1b &amp; c show example wavelet data from the Oak Pine Forest site (US-</w:t>
      </w:r>
      <w:proofErr w:type="spellStart"/>
      <w:r>
        <w:rPr>
          <w:rFonts w:cs="Times New Roman"/>
          <w:szCs w:val="24"/>
        </w:rPr>
        <w:t>SCf</w:t>
      </w:r>
      <w:proofErr w:type="spellEnd"/>
      <w:r>
        <w:rPr>
          <w:rFonts w:cs="Times New Roman"/>
          <w:szCs w:val="24"/>
        </w:rPr>
        <w:t xml:space="preserve">) at James Reserve, where upward HR was previously analyzed by </w:t>
      </w:r>
      <w:proofErr w:type="spellStart"/>
      <w:r>
        <w:rPr>
          <w:rFonts w:cs="Times New Roman"/>
          <w:szCs w:val="24"/>
        </w:rPr>
        <w:t>Kitajima</w:t>
      </w:r>
      <w:proofErr w:type="spellEnd"/>
      <w:r>
        <w:rPr>
          <w:rFonts w:cs="Times New Roman"/>
          <w:szCs w:val="24"/>
        </w:rPr>
        <w:t xml:space="preserve"> et al. (2013), and the Desert Chaparral site (US-</w:t>
      </w:r>
      <w:proofErr w:type="spellStart"/>
      <w:r>
        <w:rPr>
          <w:rFonts w:cs="Times New Roman"/>
          <w:szCs w:val="24"/>
        </w:rPr>
        <w:t>SCc</w:t>
      </w:r>
      <w:proofErr w:type="spellEnd"/>
      <w:r>
        <w:rPr>
          <w:rFonts w:cs="Times New Roman"/>
          <w:szCs w:val="24"/>
        </w:rPr>
        <w:t xml:space="preserve">), where HR has not been previously studied.  </w:t>
      </w: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89261D" w:rsidRDefault="0089261D" w:rsidP="004776FD">
      <w:pPr>
        <w:widowControl w:val="0"/>
        <w:spacing w:line="360" w:lineRule="auto"/>
        <w:ind w:firstLine="720"/>
        <w:jc w:val="both"/>
        <w:rPr>
          <w:rFonts w:cs="Times New Roman"/>
          <w:szCs w:val="24"/>
        </w:rPr>
      </w:pPr>
    </w:p>
    <w:p w:rsidR="004776FD" w:rsidRDefault="004776FD" w:rsidP="004776FD">
      <w:pPr>
        <w:widowControl w:val="0"/>
        <w:spacing w:line="360" w:lineRule="auto"/>
        <w:ind w:firstLine="720"/>
        <w:jc w:val="both"/>
        <w:rPr>
          <w:rFonts w:cs="Times New Roman"/>
          <w:szCs w:val="24"/>
        </w:rPr>
      </w:pPr>
      <w:r>
        <w:rPr>
          <w:rFonts w:cs="Times New Roman"/>
          <w:szCs w:val="24"/>
        </w:rPr>
        <w:t xml:space="preserve">    </w:t>
      </w:r>
    </w:p>
    <w:p w:rsidR="004776FD" w:rsidRPr="001D4B7A" w:rsidRDefault="004776FD" w:rsidP="004776FD">
      <w:pPr>
        <w:spacing w:line="360" w:lineRule="auto"/>
        <w:rPr>
          <w:b/>
          <w:u w:val="single"/>
        </w:rPr>
      </w:pPr>
      <w:r>
        <w:rPr>
          <w:b/>
          <w:u w:val="single"/>
        </w:rPr>
        <w:t>Notes S3</w:t>
      </w:r>
    </w:p>
    <w:p w:rsidR="004776FD" w:rsidRDefault="004776FD" w:rsidP="004776FD">
      <w:pPr>
        <w:widowControl w:val="0"/>
        <w:spacing w:line="360" w:lineRule="auto"/>
        <w:jc w:val="both"/>
        <w:rPr>
          <w:rFonts w:cs="Times New Roman"/>
          <w:szCs w:val="24"/>
        </w:rPr>
      </w:pPr>
      <w:r>
        <w:rPr>
          <w:rFonts w:cs="Times New Roman"/>
          <w:noProof/>
          <w:szCs w:val="24"/>
          <w:lang w:eastAsia="zh-CN"/>
        </w:rPr>
        <w:lastRenderedPageBreak/>
        <w:drawing>
          <wp:inline distT="0" distB="0" distL="0" distR="0" wp14:anchorId="542867CC" wp14:editId="2D22E749">
            <wp:extent cx="5943600" cy="4457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4776FD" w:rsidRDefault="004776FD" w:rsidP="004776FD">
      <w:pPr>
        <w:snapToGrid w:val="0"/>
        <w:rPr>
          <w:szCs w:val="24"/>
        </w:rPr>
      </w:pPr>
      <w:proofErr w:type="gramStart"/>
      <w:r>
        <w:rPr>
          <w:rFonts w:cs="Times New Roman"/>
          <w:szCs w:val="24"/>
        </w:rPr>
        <w:t>Figure.</w:t>
      </w:r>
      <w:proofErr w:type="gramEnd"/>
      <w:r>
        <w:rPr>
          <w:rFonts w:cs="Times New Roman"/>
          <w:szCs w:val="24"/>
        </w:rPr>
        <w:t xml:space="preserve"> </w:t>
      </w:r>
      <w:r>
        <w:rPr>
          <w:szCs w:val="24"/>
        </w:rPr>
        <w:t>Observed and simulated soil moisture over multiple years.  Labels at the upper right corner of each soil moisture panel show the depths of observed and simulated soil moisture. For example, “20 cm VS 17-29 cm” means the observation depth of soil moisture is 20 cm and the simulated results at depths of 17-29 cm were compared with this observation. Within panels for southern California sites (US-SCs, US-</w:t>
      </w:r>
      <w:proofErr w:type="spellStart"/>
      <w:r>
        <w:rPr>
          <w:szCs w:val="24"/>
        </w:rPr>
        <w:t>SCg</w:t>
      </w:r>
      <w:proofErr w:type="spellEnd"/>
      <w:r>
        <w:rPr>
          <w:szCs w:val="24"/>
        </w:rPr>
        <w:t>, US-</w:t>
      </w:r>
      <w:proofErr w:type="spellStart"/>
      <w:r>
        <w:rPr>
          <w:szCs w:val="24"/>
        </w:rPr>
        <w:t>SCf</w:t>
      </w:r>
      <w:proofErr w:type="spellEnd"/>
      <w:r>
        <w:rPr>
          <w:szCs w:val="24"/>
        </w:rPr>
        <w:t>, US-</w:t>
      </w:r>
      <w:proofErr w:type="spellStart"/>
      <w:r>
        <w:rPr>
          <w:szCs w:val="24"/>
        </w:rPr>
        <w:t>SCw</w:t>
      </w:r>
      <w:proofErr w:type="spellEnd"/>
      <w:r>
        <w:rPr>
          <w:szCs w:val="24"/>
        </w:rPr>
        <w:t>, US-</w:t>
      </w:r>
      <w:proofErr w:type="spellStart"/>
      <w:r>
        <w:rPr>
          <w:szCs w:val="24"/>
        </w:rPr>
        <w:t>SCc</w:t>
      </w:r>
      <w:proofErr w:type="spellEnd"/>
      <w:r>
        <w:rPr>
          <w:szCs w:val="24"/>
        </w:rPr>
        <w:t>, and US-</w:t>
      </w:r>
      <w:proofErr w:type="spellStart"/>
      <w:r>
        <w:rPr>
          <w:szCs w:val="24"/>
        </w:rPr>
        <w:t>SCd</w:t>
      </w:r>
      <w:proofErr w:type="spellEnd"/>
      <w:r>
        <w:rPr>
          <w:szCs w:val="24"/>
        </w:rPr>
        <w:t xml:space="preserve">), the four grey lines are data from the four CS-616 soil moisture sensors at  0-30 cm depth. </w:t>
      </w:r>
    </w:p>
    <w:p w:rsidR="004776FD" w:rsidRDefault="004776FD" w:rsidP="004776FD">
      <w:pPr>
        <w:widowControl w:val="0"/>
        <w:spacing w:line="360" w:lineRule="auto"/>
        <w:jc w:val="both"/>
        <w:rPr>
          <w:rFonts w:cs="Times New Roman"/>
          <w:szCs w:val="24"/>
        </w:rPr>
      </w:pPr>
    </w:p>
    <w:p w:rsidR="004776FD" w:rsidRDefault="004776FD" w:rsidP="004776FD">
      <w:pPr>
        <w:widowControl w:val="0"/>
        <w:spacing w:line="360" w:lineRule="auto"/>
        <w:jc w:val="both"/>
        <w:rPr>
          <w:rFonts w:cs="Times New Roman"/>
          <w:szCs w:val="24"/>
        </w:rPr>
      </w:pPr>
      <w:r w:rsidRPr="00AB5F6E">
        <w:rPr>
          <w:rFonts w:cs="Times New Roman"/>
          <w:szCs w:val="24"/>
        </w:rPr>
        <w:t xml:space="preserve">Several noticeable discrepancies between modeled and measured rainy season soil </w:t>
      </w:r>
      <w:r w:rsidRPr="00FF5263">
        <w:rPr>
          <w:rFonts w:cs="Times New Roman"/>
          <w:szCs w:val="24"/>
        </w:rPr>
        <w:t xml:space="preserve">moisture at the Southern </w:t>
      </w:r>
      <w:r>
        <w:rPr>
          <w:rFonts w:cs="Times New Roman"/>
          <w:szCs w:val="24"/>
        </w:rPr>
        <w:t xml:space="preserve">California US-SC sites are </w:t>
      </w:r>
      <w:r w:rsidRPr="00FF5263">
        <w:rPr>
          <w:rFonts w:cs="Times New Roman"/>
          <w:szCs w:val="24"/>
        </w:rPr>
        <w:t xml:space="preserve">indicated with grey rectangular boxes in </w:t>
      </w:r>
      <w:r>
        <w:rPr>
          <w:rFonts w:cs="Times New Roman"/>
          <w:szCs w:val="24"/>
        </w:rPr>
        <w:t>above figure</w:t>
      </w:r>
      <w:r w:rsidRPr="006611FF">
        <w:rPr>
          <w:rFonts w:cs="Times New Roman"/>
          <w:szCs w:val="24"/>
        </w:rPr>
        <w:t>.</w:t>
      </w:r>
      <w:r w:rsidRPr="00DF2BEC">
        <w:rPr>
          <w:rFonts w:cs="Times New Roman"/>
          <w:szCs w:val="24"/>
        </w:rPr>
        <w:t xml:space="preserve"> At the U-SCs </w:t>
      </w:r>
      <w:r>
        <w:rPr>
          <w:rFonts w:cs="Times New Roman"/>
          <w:szCs w:val="24"/>
        </w:rPr>
        <w:t>S</w:t>
      </w:r>
      <w:r w:rsidRPr="00DF2BEC">
        <w:rPr>
          <w:rFonts w:cs="Times New Roman"/>
          <w:szCs w:val="24"/>
        </w:rPr>
        <w:t xml:space="preserve">age site (top-most panel), during Nov. 25 – Dec 31 2008, only 20.6 mm of rain were recorded, leading to only a very small </w:t>
      </w:r>
      <w:r w:rsidRPr="00FF5263">
        <w:rPr>
          <w:rFonts w:cs="Times New Roman"/>
          <w:szCs w:val="24"/>
        </w:rPr>
        <w:t xml:space="preserve">modeled soil moisture increase. </w:t>
      </w:r>
      <w:proofErr w:type="gramStart"/>
      <w:r w:rsidRPr="00FF5263">
        <w:rPr>
          <w:rFonts w:cs="Times New Roman"/>
          <w:szCs w:val="24"/>
        </w:rPr>
        <w:t>However, both the CS-616 (Fig.1) and CS-229 (Fig</w:t>
      </w:r>
      <w:r>
        <w:rPr>
          <w:rFonts w:cs="Times New Roman"/>
          <w:szCs w:val="24"/>
        </w:rPr>
        <w:t>.</w:t>
      </w:r>
      <w:proofErr w:type="gramEnd"/>
      <w:r w:rsidRPr="00FF5263">
        <w:rPr>
          <w:rFonts w:cs="Times New Roman"/>
          <w:szCs w:val="24"/>
        </w:rPr>
        <w:t xml:space="preserve"> S</w:t>
      </w:r>
      <w:r w:rsidRPr="006611FF">
        <w:rPr>
          <w:rFonts w:cs="Times New Roman"/>
          <w:szCs w:val="24"/>
        </w:rPr>
        <w:t>2)</w:t>
      </w:r>
      <w:r w:rsidRPr="00DF2BEC">
        <w:rPr>
          <w:rFonts w:cs="Times New Roman"/>
          <w:szCs w:val="24"/>
        </w:rPr>
        <w:t xml:space="preserve"> soi</w:t>
      </w:r>
      <w:r w:rsidRPr="00A725D3">
        <w:rPr>
          <w:rFonts w:cs="Times New Roman"/>
          <w:szCs w:val="24"/>
        </w:rPr>
        <w:t>l</w:t>
      </w:r>
      <w:r w:rsidRPr="00AB5F6E">
        <w:rPr>
          <w:rFonts w:cs="Times New Roman"/>
          <w:szCs w:val="24"/>
        </w:rPr>
        <w:t xml:space="preserve"> moisture probes show a strong excursion in soil moisture during that period, congruent with large excursions at the nearby US-</w:t>
      </w:r>
      <w:proofErr w:type="spellStart"/>
      <w:r w:rsidRPr="00AB5F6E">
        <w:rPr>
          <w:rFonts w:cs="Times New Roman"/>
          <w:szCs w:val="24"/>
        </w:rPr>
        <w:t>SCg</w:t>
      </w:r>
      <w:proofErr w:type="spellEnd"/>
      <w:r w:rsidRPr="00AB5F6E">
        <w:rPr>
          <w:rFonts w:cs="Times New Roman"/>
          <w:szCs w:val="24"/>
        </w:rPr>
        <w:t xml:space="preserve"> grassland site where far more precipitation </w:t>
      </w:r>
      <w:r w:rsidRPr="00AB5F6E">
        <w:rPr>
          <w:rFonts w:cs="Times New Roman"/>
          <w:szCs w:val="24"/>
        </w:rPr>
        <w:lastRenderedPageBreak/>
        <w:t xml:space="preserve">(130.5 mm) was measured during the same time frame. Several explanations are possible; precipitation data may have been lost (and mistakenly coded to zero) at the </w:t>
      </w:r>
      <w:proofErr w:type="spellStart"/>
      <w:r w:rsidRPr="00AB5F6E">
        <w:rPr>
          <w:rFonts w:cs="Times New Roman"/>
          <w:szCs w:val="24"/>
        </w:rPr>
        <w:t>sage</w:t>
      </w:r>
      <w:proofErr w:type="spellEnd"/>
      <w:r w:rsidRPr="00AB5F6E">
        <w:rPr>
          <w:rFonts w:cs="Times New Roman"/>
          <w:szCs w:val="24"/>
        </w:rPr>
        <w:t xml:space="preserve"> site during that period, but that seems unlikely, since some rainfall was recorded in spurts throughout the time frame. Alternatively, rainfall may have been very patchy on the landscape during that period, US-</w:t>
      </w:r>
      <w:proofErr w:type="spellStart"/>
      <w:r w:rsidRPr="00AB5F6E">
        <w:rPr>
          <w:rFonts w:cs="Times New Roman"/>
          <w:szCs w:val="24"/>
        </w:rPr>
        <w:t>SCg</w:t>
      </w:r>
      <w:proofErr w:type="spellEnd"/>
      <w:r w:rsidRPr="00AB5F6E">
        <w:rPr>
          <w:rFonts w:cs="Times New Roman"/>
          <w:szCs w:val="24"/>
        </w:rPr>
        <w:t xml:space="preserve"> was hit with rain more heavily than US-SCs, but water moved into soil at US-SCs from nearby areas where heavy rain fell. Similar discrepancies are visible between modeled and measured soil moisture during the same wet season at the US-</w:t>
      </w:r>
      <w:proofErr w:type="spellStart"/>
      <w:r w:rsidRPr="00AB5F6E">
        <w:rPr>
          <w:rFonts w:cs="Times New Roman"/>
          <w:szCs w:val="24"/>
        </w:rPr>
        <w:t>SCw</w:t>
      </w:r>
      <w:proofErr w:type="spellEnd"/>
      <w:r w:rsidRPr="00AB5F6E">
        <w:rPr>
          <w:rFonts w:cs="Times New Roman"/>
          <w:szCs w:val="24"/>
        </w:rPr>
        <w:t xml:space="preserve"> Pinyon and US-</w:t>
      </w:r>
      <w:proofErr w:type="spellStart"/>
      <w:r w:rsidRPr="00AB5F6E">
        <w:rPr>
          <w:rFonts w:cs="Times New Roman"/>
          <w:szCs w:val="24"/>
        </w:rPr>
        <w:t>SCc</w:t>
      </w:r>
      <w:proofErr w:type="spellEnd"/>
      <w:r w:rsidRPr="00AB5F6E">
        <w:rPr>
          <w:rFonts w:cs="Times New Roman"/>
          <w:szCs w:val="24"/>
        </w:rPr>
        <w:t xml:space="preserve"> Chaparral sites (marked with rectangles), at the same two sites during the early 2012 wet season, and at the US-</w:t>
      </w:r>
      <w:proofErr w:type="spellStart"/>
      <w:r w:rsidRPr="00AB5F6E">
        <w:rPr>
          <w:rFonts w:cs="Times New Roman"/>
          <w:szCs w:val="24"/>
        </w:rPr>
        <w:t>SCd</w:t>
      </w:r>
      <w:proofErr w:type="spellEnd"/>
      <w:r w:rsidRPr="00AB5F6E">
        <w:rPr>
          <w:rFonts w:cs="Times New Roman"/>
          <w:szCs w:val="24"/>
        </w:rPr>
        <w:t xml:space="preserve"> Sonoran Desert site during early 2010; interestingly, both the 2008/2009 and 2011/2012 wet seasons were the driest of the five years shown in the figures. The tipping bucket rain </w:t>
      </w:r>
      <w:r>
        <w:rPr>
          <w:rFonts w:cs="Times New Roman"/>
          <w:szCs w:val="24"/>
        </w:rPr>
        <w:t>gauge</w:t>
      </w:r>
      <w:r w:rsidRPr="00AB5F6E">
        <w:rPr>
          <w:rFonts w:cs="Times New Roman"/>
          <w:szCs w:val="24"/>
        </w:rPr>
        <w:t xml:space="preserve"> used at the sites has 0.2</w:t>
      </w:r>
      <w:r>
        <w:rPr>
          <w:rFonts w:cs="Times New Roman"/>
          <w:szCs w:val="24"/>
        </w:rPr>
        <w:t xml:space="preserve"> </w:t>
      </w:r>
      <w:r w:rsidRPr="00AB5F6E">
        <w:rPr>
          <w:rFonts w:cs="Times New Roman"/>
          <w:szCs w:val="24"/>
        </w:rPr>
        <w:t xml:space="preserve">mm </w:t>
      </w:r>
      <w:proofErr w:type="gramStart"/>
      <w:r w:rsidRPr="00AB5F6E">
        <w:rPr>
          <w:rFonts w:cs="Times New Roman"/>
          <w:szCs w:val="24"/>
        </w:rPr>
        <w:t>resolution,</w:t>
      </w:r>
      <w:proofErr w:type="gramEnd"/>
      <w:r w:rsidRPr="00AB5F6E">
        <w:rPr>
          <w:rFonts w:cs="Times New Roman"/>
          <w:szCs w:val="24"/>
        </w:rPr>
        <w:t xml:space="preserve"> and accuracy of</w:t>
      </w:r>
      <w:r>
        <w:rPr>
          <w:rFonts w:cs="Times New Roman"/>
          <w:szCs w:val="24"/>
        </w:rPr>
        <w:t xml:space="preserve"> +/-</w:t>
      </w:r>
      <w:r w:rsidRPr="00AB5F6E">
        <w:rPr>
          <w:rFonts w:cs="Times New Roman"/>
          <w:szCs w:val="24"/>
        </w:rPr>
        <w:t xml:space="preserve"> 1% at 50</w:t>
      </w:r>
      <w:r>
        <w:rPr>
          <w:rFonts w:cs="Times New Roman"/>
          <w:szCs w:val="24"/>
        </w:rPr>
        <w:t xml:space="preserve"> </w:t>
      </w:r>
      <w:r w:rsidRPr="00AB5F6E">
        <w:rPr>
          <w:rFonts w:cs="Times New Roman"/>
          <w:szCs w:val="24"/>
        </w:rPr>
        <w:t>mm</w:t>
      </w:r>
      <w:r>
        <w:rPr>
          <w:rFonts w:cs="Times New Roman"/>
          <w:szCs w:val="24"/>
        </w:rPr>
        <w:t xml:space="preserve"> </w:t>
      </w:r>
      <w:r w:rsidRPr="00AB5F6E">
        <w:rPr>
          <w:rFonts w:cs="Times New Roman"/>
          <w:szCs w:val="24"/>
        </w:rPr>
        <w:t>h</w:t>
      </w:r>
      <w:r w:rsidRPr="00FF12A9">
        <w:rPr>
          <w:rFonts w:cs="Times New Roman"/>
          <w:szCs w:val="24"/>
          <w:vertAlign w:val="superscript"/>
        </w:rPr>
        <w:t>-1</w:t>
      </w:r>
      <w:r>
        <w:rPr>
          <w:rFonts w:cs="Times New Roman"/>
          <w:szCs w:val="24"/>
        </w:rPr>
        <w:t>.</w:t>
      </w:r>
    </w:p>
    <w:p w:rsidR="004776FD" w:rsidRDefault="004776FD" w:rsidP="004776FD">
      <w:pPr>
        <w:spacing w:line="360" w:lineRule="auto"/>
      </w:pPr>
    </w:p>
    <w:p w:rsidR="004776FD" w:rsidRDefault="004776FD" w:rsidP="004776FD">
      <w:pPr>
        <w:spacing w:line="360" w:lineRule="auto"/>
      </w:pPr>
    </w:p>
    <w:p w:rsidR="004776FD" w:rsidRDefault="004776FD" w:rsidP="000518C0">
      <w:pPr>
        <w:spacing w:line="480" w:lineRule="auto"/>
      </w:pPr>
    </w:p>
    <w:sectPr w:rsidR="004776FD" w:rsidSect="0035756F">
      <w:pgSz w:w="11907" w:h="13608" w:code="1"/>
      <w:pgMar w:top="567" w:right="936" w:bottom="1338" w:left="936"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trackRevision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7FD"/>
    <w:rsid w:val="00050C20"/>
    <w:rsid w:val="00050FC7"/>
    <w:rsid w:val="000518C0"/>
    <w:rsid w:val="00053C62"/>
    <w:rsid w:val="000634A2"/>
    <w:rsid w:val="000F6457"/>
    <w:rsid w:val="001133B4"/>
    <w:rsid w:val="001134B9"/>
    <w:rsid w:val="00124199"/>
    <w:rsid w:val="001363C5"/>
    <w:rsid w:val="001416D6"/>
    <w:rsid w:val="001B6B06"/>
    <w:rsid w:val="001D0534"/>
    <w:rsid w:val="001D48D1"/>
    <w:rsid w:val="001D64D6"/>
    <w:rsid w:val="001F5FF8"/>
    <w:rsid w:val="00211011"/>
    <w:rsid w:val="002229E8"/>
    <w:rsid w:val="00254953"/>
    <w:rsid w:val="002571F2"/>
    <w:rsid w:val="0029335E"/>
    <w:rsid w:val="002F2669"/>
    <w:rsid w:val="003052C3"/>
    <w:rsid w:val="003157FD"/>
    <w:rsid w:val="0035756F"/>
    <w:rsid w:val="00383521"/>
    <w:rsid w:val="003A0794"/>
    <w:rsid w:val="003B71FB"/>
    <w:rsid w:val="003C4AC4"/>
    <w:rsid w:val="003D2BED"/>
    <w:rsid w:val="003E550E"/>
    <w:rsid w:val="00430D2D"/>
    <w:rsid w:val="00435FC0"/>
    <w:rsid w:val="00436141"/>
    <w:rsid w:val="00455D02"/>
    <w:rsid w:val="004776FD"/>
    <w:rsid w:val="004808C7"/>
    <w:rsid w:val="004A6CA3"/>
    <w:rsid w:val="004B14CF"/>
    <w:rsid w:val="004B60E2"/>
    <w:rsid w:val="004C6029"/>
    <w:rsid w:val="004E722F"/>
    <w:rsid w:val="004F20B0"/>
    <w:rsid w:val="005534B9"/>
    <w:rsid w:val="005821DA"/>
    <w:rsid w:val="005A5DB9"/>
    <w:rsid w:val="005A6611"/>
    <w:rsid w:val="005D5439"/>
    <w:rsid w:val="005D5B2E"/>
    <w:rsid w:val="005E4362"/>
    <w:rsid w:val="006256B0"/>
    <w:rsid w:val="00650BE3"/>
    <w:rsid w:val="0065717D"/>
    <w:rsid w:val="00672A69"/>
    <w:rsid w:val="006D2416"/>
    <w:rsid w:val="00722FEA"/>
    <w:rsid w:val="0073368C"/>
    <w:rsid w:val="00763166"/>
    <w:rsid w:val="007A2E11"/>
    <w:rsid w:val="0081195E"/>
    <w:rsid w:val="00817840"/>
    <w:rsid w:val="00853734"/>
    <w:rsid w:val="0089261D"/>
    <w:rsid w:val="008A080B"/>
    <w:rsid w:val="008E4BE4"/>
    <w:rsid w:val="008F322C"/>
    <w:rsid w:val="0097209A"/>
    <w:rsid w:val="009E1AA8"/>
    <w:rsid w:val="009E5C3D"/>
    <w:rsid w:val="00A3704A"/>
    <w:rsid w:val="00A5037D"/>
    <w:rsid w:val="00A725C6"/>
    <w:rsid w:val="00AC59E0"/>
    <w:rsid w:val="00AF019D"/>
    <w:rsid w:val="00B92D54"/>
    <w:rsid w:val="00B93689"/>
    <w:rsid w:val="00BB179A"/>
    <w:rsid w:val="00BF7D81"/>
    <w:rsid w:val="00C0321E"/>
    <w:rsid w:val="00C12453"/>
    <w:rsid w:val="00C63787"/>
    <w:rsid w:val="00D16793"/>
    <w:rsid w:val="00D71D34"/>
    <w:rsid w:val="00DC1FCC"/>
    <w:rsid w:val="00DF742E"/>
    <w:rsid w:val="00E222C0"/>
    <w:rsid w:val="00E6730E"/>
    <w:rsid w:val="00EF387E"/>
    <w:rsid w:val="00F07145"/>
    <w:rsid w:val="00F628ED"/>
    <w:rsid w:val="00FB3471"/>
    <w:rsid w:val="00FD548D"/>
    <w:rsid w:val="00FE3E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57FD"/>
    <w:rPr>
      <w:rFonts w:ascii="Tahoma" w:hAnsi="Tahoma" w:cs="Tahoma"/>
      <w:sz w:val="16"/>
      <w:szCs w:val="16"/>
    </w:rPr>
  </w:style>
  <w:style w:type="character" w:customStyle="1" w:styleId="BalloonTextChar">
    <w:name w:val="Balloon Text Char"/>
    <w:basedOn w:val="DefaultParagraphFont"/>
    <w:link w:val="BalloonText"/>
    <w:uiPriority w:val="99"/>
    <w:semiHidden/>
    <w:rsid w:val="003157FD"/>
    <w:rPr>
      <w:rFonts w:ascii="Tahoma" w:hAnsi="Tahoma" w:cs="Tahoma"/>
      <w:sz w:val="16"/>
      <w:szCs w:val="16"/>
    </w:rPr>
  </w:style>
  <w:style w:type="character" w:styleId="CommentReference">
    <w:name w:val="annotation reference"/>
    <w:basedOn w:val="DefaultParagraphFont"/>
    <w:uiPriority w:val="99"/>
    <w:semiHidden/>
    <w:unhideWhenUsed/>
    <w:rsid w:val="001B6B06"/>
    <w:rPr>
      <w:sz w:val="16"/>
      <w:szCs w:val="16"/>
    </w:rPr>
  </w:style>
  <w:style w:type="paragraph" w:styleId="CommentText">
    <w:name w:val="annotation text"/>
    <w:basedOn w:val="Normal"/>
    <w:link w:val="CommentTextChar"/>
    <w:uiPriority w:val="99"/>
    <w:semiHidden/>
    <w:unhideWhenUsed/>
    <w:rsid w:val="001B6B06"/>
    <w:rPr>
      <w:sz w:val="20"/>
      <w:szCs w:val="20"/>
    </w:rPr>
  </w:style>
  <w:style w:type="character" w:customStyle="1" w:styleId="CommentTextChar">
    <w:name w:val="Comment Text Char"/>
    <w:basedOn w:val="DefaultParagraphFont"/>
    <w:link w:val="CommentText"/>
    <w:uiPriority w:val="99"/>
    <w:semiHidden/>
    <w:rsid w:val="001B6B06"/>
    <w:rPr>
      <w:sz w:val="20"/>
      <w:szCs w:val="20"/>
    </w:rPr>
  </w:style>
  <w:style w:type="paragraph" w:styleId="CommentSubject">
    <w:name w:val="annotation subject"/>
    <w:basedOn w:val="CommentText"/>
    <w:next w:val="CommentText"/>
    <w:link w:val="CommentSubjectChar"/>
    <w:uiPriority w:val="99"/>
    <w:semiHidden/>
    <w:unhideWhenUsed/>
    <w:rsid w:val="001B6B06"/>
    <w:rPr>
      <w:b/>
      <w:bCs/>
    </w:rPr>
  </w:style>
  <w:style w:type="character" w:customStyle="1" w:styleId="CommentSubjectChar">
    <w:name w:val="Comment Subject Char"/>
    <w:basedOn w:val="CommentTextChar"/>
    <w:link w:val="CommentSubject"/>
    <w:uiPriority w:val="99"/>
    <w:semiHidden/>
    <w:rsid w:val="001B6B06"/>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57FD"/>
    <w:rPr>
      <w:rFonts w:ascii="Tahoma" w:hAnsi="Tahoma" w:cs="Tahoma"/>
      <w:sz w:val="16"/>
      <w:szCs w:val="16"/>
    </w:rPr>
  </w:style>
  <w:style w:type="character" w:customStyle="1" w:styleId="BalloonTextChar">
    <w:name w:val="Balloon Text Char"/>
    <w:basedOn w:val="DefaultParagraphFont"/>
    <w:link w:val="BalloonText"/>
    <w:uiPriority w:val="99"/>
    <w:semiHidden/>
    <w:rsid w:val="003157FD"/>
    <w:rPr>
      <w:rFonts w:ascii="Tahoma" w:hAnsi="Tahoma" w:cs="Tahoma"/>
      <w:sz w:val="16"/>
      <w:szCs w:val="16"/>
    </w:rPr>
  </w:style>
  <w:style w:type="character" w:styleId="CommentReference">
    <w:name w:val="annotation reference"/>
    <w:basedOn w:val="DefaultParagraphFont"/>
    <w:uiPriority w:val="99"/>
    <w:semiHidden/>
    <w:unhideWhenUsed/>
    <w:rsid w:val="001B6B06"/>
    <w:rPr>
      <w:sz w:val="16"/>
      <w:szCs w:val="16"/>
    </w:rPr>
  </w:style>
  <w:style w:type="paragraph" w:styleId="CommentText">
    <w:name w:val="annotation text"/>
    <w:basedOn w:val="Normal"/>
    <w:link w:val="CommentTextChar"/>
    <w:uiPriority w:val="99"/>
    <w:semiHidden/>
    <w:unhideWhenUsed/>
    <w:rsid w:val="001B6B06"/>
    <w:rPr>
      <w:sz w:val="20"/>
      <w:szCs w:val="20"/>
    </w:rPr>
  </w:style>
  <w:style w:type="character" w:customStyle="1" w:styleId="CommentTextChar">
    <w:name w:val="Comment Text Char"/>
    <w:basedOn w:val="DefaultParagraphFont"/>
    <w:link w:val="CommentText"/>
    <w:uiPriority w:val="99"/>
    <w:semiHidden/>
    <w:rsid w:val="001B6B06"/>
    <w:rPr>
      <w:sz w:val="20"/>
      <w:szCs w:val="20"/>
    </w:rPr>
  </w:style>
  <w:style w:type="paragraph" w:styleId="CommentSubject">
    <w:name w:val="annotation subject"/>
    <w:basedOn w:val="CommentText"/>
    <w:next w:val="CommentText"/>
    <w:link w:val="CommentSubjectChar"/>
    <w:uiPriority w:val="99"/>
    <w:semiHidden/>
    <w:unhideWhenUsed/>
    <w:rsid w:val="001B6B06"/>
    <w:rPr>
      <w:b/>
      <w:bCs/>
    </w:rPr>
  </w:style>
  <w:style w:type="character" w:customStyle="1" w:styleId="CommentSubjectChar">
    <w:name w:val="Comment Subject Char"/>
    <w:basedOn w:val="CommentTextChar"/>
    <w:link w:val="CommentSubject"/>
    <w:uiPriority w:val="99"/>
    <w:semiHidden/>
    <w:rsid w:val="001B6B0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13" Type="http://schemas.openxmlformats.org/officeDocument/2006/relationships/image" Target="media/image9.tif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image" Target="media/image8.tiff"/><Relationship Id="rId17" Type="http://schemas.openxmlformats.org/officeDocument/2006/relationships/image" Target="media/image13.tiff"/><Relationship Id="rId2" Type="http://schemas.microsoft.com/office/2007/relationships/stylesWithEffects" Target="stylesWithEffects.xml"/><Relationship Id="rId16" Type="http://schemas.openxmlformats.org/officeDocument/2006/relationships/image" Target="media/image12.tiff"/><Relationship Id="rId1" Type="http://schemas.openxmlformats.org/officeDocument/2006/relationships/styles" Target="styles.xml"/><Relationship Id="rId6" Type="http://schemas.openxmlformats.org/officeDocument/2006/relationships/image" Target="media/image2.tiff"/><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tiff"/><Relationship Id="rId10" Type="http://schemas.openxmlformats.org/officeDocument/2006/relationships/image" Target="media/image6.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tiff"/><Relationship Id="rId14" Type="http://schemas.openxmlformats.org/officeDocument/2006/relationships/image" Target="media/image10.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TotalTime>
  <Pages>18</Pages>
  <Words>1707</Words>
  <Characters>9730</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11415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zcardon</dc:creator>
  <cp:lastModifiedBy>anlexiaoming</cp:lastModifiedBy>
  <cp:revision>26</cp:revision>
  <cp:lastPrinted>2016-01-15T17:48:00Z</cp:lastPrinted>
  <dcterms:created xsi:type="dcterms:W3CDTF">2015-08-18T19:03:00Z</dcterms:created>
  <dcterms:modified xsi:type="dcterms:W3CDTF">2016-02-28T17:37:00Z</dcterms:modified>
</cp:coreProperties>
</file>